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Kenza: Edge AI Telepresence Robot with Gesture Control</w:t>
      </w:r>
    </w:p>
    <w:p>
      <w:pPr>
        <w:jc w:val="center"/>
      </w:pPr>
      <w:r>
        <w:rPr>
          <w:rFonts w:ascii="Times New Roman" w:hAnsi="Times New Roman"/>
          <w:b/>
          <w:sz w:val="22"/>
        </w:rPr>
        <w:t>Amruth Krishna K</w:t>
        <w:br/>
      </w:r>
      <w:r>
        <w:rPr>
          <w:rFonts w:ascii="Times New Roman" w:hAnsi="Times New Roman"/>
          <w:sz w:val="18"/>
        </w:rPr>
        <w:t>Artificial Intelligence and Data Science</w:t>
        <w:br/>
      </w:r>
      <w:r>
        <w:rPr>
          <w:rFonts w:ascii="Times New Roman" w:hAnsi="Times New Roman"/>
          <w:sz w:val="18"/>
        </w:rPr>
        <w:t>Jyothi Engineering College</w:t>
        <w:br/>
      </w:r>
      <w:r>
        <w:rPr>
          <w:rFonts w:ascii="Times New Roman" w:hAnsi="Times New Roman"/>
          <w:sz w:val="18"/>
        </w:rPr>
        <w:t>Thrissur, India</w:t>
        <w:br/>
      </w:r>
      <w:r>
        <w:rPr>
          <w:rFonts w:ascii="Times New Roman" w:hAnsi="Times New Roman"/>
          <w:sz w:val="18"/>
        </w:rPr>
        <w:t>amruth.workss@gmail.com</w:t>
      </w:r>
      <w:r>
        <w:br/>
        <w:br/>
      </w:r>
      <w:r>
        <w:t xml:space="preserve">          </w:t>
      </w:r>
      <w:r>
        <w:rPr>
          <w:rFonts w:ascii="Times New Roman" w:hAnsi="Times New Roman"/>
          <w:b/>
          <w:sz w:val="22"/>
        </w:rPr>
        <w:t>Mohammed Sabil C</w:t>
        <w:br/>
      </w:r>
      <w:r>
        <w:rPr>
          <w:rFonts w:ascii="Times New Roman" w:hAnsi="Times New Roman"/>
          <w:sz w:val="18"/>
        </w:rPr>
        <w:t>Artificial Intelligence and Data Science</w:t>
        <w:br/>
      </w:r>
      <w:r>
        <w:rPr>
          <w:rFonts w:ascii="Times New Roman" w:hAnsi="Times New Roman"/>
          <w:sz w:val="18"/>
        </w:rPr>
        <w:t>Jyothi Engineering College</w:t>
        <w:br/>
      </w:r>
      <w:r>
        <w:rPr>
          <w:rFonts w:ascii="Times New Roman" w:hAnsi="Times New Roman"/>
          <w:sz w:val="18"/>
        </w:rPr>
        <w:t>Thrissur, India</w:t>
        <w:br/>
      </w:r>
      <w:r>
        <w:rPr>
          <w:rFonts w:ascii="Times New Roman" w:hAnsi="Times New Roman"/>
          <w:sz w:val="18"/>
        </w:rPr>
        <w:t>mohammedsabilc78@gmail.com</w:t>
      </w:r>
      <w:r>
        <w:br/>
        <w:br/>
      </w:r>
      <w:r>
        <w:t xml:space="preserve">          </w:t>
      </w:r>
      <w:r>
        <w:rPr>
          <w:rFonts w:ascii="Times New Roman" w:hAnsi="Times New Roman"/>
          <w:b/>
          <w:sz w:val="22"/>
        </w:rPr>
        <w:t>Mohammed Shamnas K</w:t>
        <w:br/>
      </w:r>
      <w:r>
        <w:rPr>
          <w:rFonts w:ascii="Times New Roman" w:hAnsi="Times New Roman"/>
          <w:sz w:val="18"/>
        </w:rPr>
        <w:t>Artificial Intelligence and Data Science</w:t>
        <w:br/>
      </w:r>
      <w:r>
        <w:rPr>
          <w:rFonts w:ascii="Times New Roman" w:hAnsi="Times New Roman"/>
          <w:sz w:val="18"/>
        </w:rPr>
        <w:t>Jyothi Engineering College</w:t>
        <w:br/>
      </w:r>
      <w:r>
        <w:rPr>
          <w:rFonts w:ascii="Times New Roman" w:hAnsi="Times New Roman"/>
          <w:sz w:val="18"/>
        </w:rPr>
        <w:t>Thrissur, India</w:t>
        <w:br/>
      </w:r>
      <w:r>
        <w:rPr>
          <w:rFonts w:ascii="Times New Roman" w:hAnsi="Times New Roman"/>
          <w:sz w:val="18"/>
        </w:rPr>
        <w:t>aksshamnask@gmail.com</w:t>
      </w:r>
    </w:p>
    <w:p>
      <w:pPr>
        <w:jc w:val="center"/>
      </w:pPr>
      <w:r>
        <w:rPr>
          <w:rFonts w:ascii="Times New Roman" w:hAnsi="Times New Roman"/>
          <w:b/>
          <w:sz w:val="22"/>
        </w:rPr>
        <w:t>Sidharth Sajith</w:t>
        <w:br/>
      </w:r>
      <w:r>
        <w:rPr>
          <w:rFonts w:ascii="Times New Roman" w:hAnsi="Times New Roman"/>
          <w:sz w:val="18"/>
        </w:rPr>
        <w:t>Artificial Intelligence and Data Science</w:t>
        <w:br/>
      </w:r>
      <w:r>
        <w:rPr>
          <w:rFonts w:ascii="Times New Roman" w:hAnsi="Times New Roman"/>
          <w:sz w:val="18"/>
        </w:rPr>
        <w:t>Jyothi Engineering College</w:t>
        <w:br/>
      </w:r>
      <w:r>
        <w:rPr>
          <w:rFonts w:ascii="Times New Roman" w:hAnsi="Times New Roman"/>
          <w:sz w:val="18"/>
        </w:rPr>
        <w:t>Thrissur, India</w:t>
        <w:br/>
      </w:r>
      <w:r>
        <w:rPr>
          <w:rFonts w:ascii="Times New Roman" w:hAnsi="Times New Roman"/>
          <w:sz w:val="18"/>
        </w:rPr>
        <w:t>sidharthsajith.work@gmail.com</w:t>
      </w:r>
      <w:r>
        <w:br/>
        <w:br/>
      </w:r>
      <w:r>
        <w:t xml:space="preserve">          </w:t>
      </w:r>
      <w:r>
        <w:rPr>
          <w:rFonts w:ascii="Times New Roman" w:hAnsi="Times New Roman"/>
          <w:b/>
          <w:sz w:val="22"/>
        </w:rPr>
        <w:t>Anoop V</w:t>
        <w:br/>
      </w:r>
      <w:r>
        <w:rPr>
          <w:rFonts w:ascii="Times New Roman" w:hAnsi="Times New Roman"/>
          <w:sz w:val="18"/>
        </w:rPr>
        <w:t>Artificial Intelligence and Data Science</w:t>
        <w:br/>
      </w:r>
      <w:r>
        <w:rPr>
          <w:rFonts w:ascii="Times New Roman" w:hAnsi="Times New Roman"/>
          <w:sz w:val="18"/>
        </w:rPr>
        <w:t>Jyothi Engineering College</w:t>
        <w:br/>
      </w:r>
      <w:r>
        <w:rPr>
          <w:rFonts w:ascii="Times New Roman" w:hAnsi="Times New Roman"/>
          <w:sz w:val="18"/>
        </w:rPr>
        <w:t>Thrissur, India</w:t>
        <w:br/>
      </w:r>
      <w:r>
        <w:rPr>
          <w:rFonts w:ascii="Times New Roman" w:hAnsi="Times New Roman"/>
          <w:sz w:val="18"/>
        </w:rPr>
        <w:t>@gmail.com</w:t>
      </w:r>
    </w:p>
    <w:p>
      <w:pPr>
        <w:ind w:firstLine="360"/>
        <w:jc w:val="both"/>
      </w:pPr>
      <w:r>
        <w:rPr>
          <w:rFonts w:ascii="Times New Roman" w:hAnsi="Times New Roman"/>
          <w:b/>
          <w:i/>
          <w:sz w:val="18"/>
        </w:rPr>
        <w:t>Abstract—</w:t>
      </w:r>
      <w:r>
        <w:rPr>
          <w:rFonts w:ascii="Times New Roman" w:hAnsi="Times New Roman"/>
          <w:sz w:val="18"/>
        </w:rPr>
        <w:t>The proposed system, named Kenza, is an enhanced AI-powered telepresence robot that combines real-time remote operation, autonomous conversational intelligence, and expressive humanoid interaction on a low-cost, modular platform. The hardware architecture is centered on a Raspberry Pi for edge inference, audio–video processing, and web services, and an ESP32 dedicated to differential-drive motor control, each powered by separate battery packs to improve electrical isolation and runtime stability. A camera mounted on Kenza supports gesture-based teleoperation and visual-only obstacle awareness, removing the need for ultrasonic sensors in automatic movement. On the interaction side, a dual-model conversational pipeline integrates a local Llama 3.2 model with an online Gemini backend, delivering low-latency, humanoid-style dialogue in both online and offline conditions. An integrated front-facing display renders animated eyes and emotional states that remain active even when Kenza is offline, while a mobile–web application, accessed via QR-based Wi-Fi pairing, allows users to control motion, view the live video stream, and customize eye appearance and robot “moods” from any smartphone. The chassis combines a three-wheel base, L298N motor driver, auxiliary mini motors, and a 3D-printed outer shell that encloses the electronics and display, improving robustness and social acceptability. Experimental deployment of Kenza indicates that the proposed architecture effectively unifies mobility, edge intelligence, gesture control, and emotional expression, positioning the platform as a practical foundation for telepresence in remote caregiving, education, and social communication scenarios.</w:t>
      </w:r>
    </w:p>
    <w:p>
      <w:pPr>
        <w:jc w:val="center"/>
      </w:pPr>
      <w:r>
        <w:rPr>
          <w:rFonts w:ascii="Times New Roman" w:hAnsi="Times New Roman"/>
          <w:b/>
          <w:sz w:val="20"/>
        </w:rPr>
        <w:t>I. INTRODUCTION</w:t>
      </w:r>
    </w:p>
    <w:p>
      <w:pPr>
        <w:ind w:firstLine="360"/>
        <w:jc w:val="both"/>
      </w:pPr>
      <w:r>
        <w:rPr>
          <w:rFonts w:ascii="Times New Roman" w:hAnsi="Times New Roman"/>
          <w:sz w:val="20"/>
        </w:rPr>
        <w:t>Telepresence robots extend conventional video communication by adding mobility, embodiment, and spatial awareness, enabling users to perceive and act in remote environments as if physically present. Such systems are increasingly deployed in domains including remote caregiving, education, business collaboration, and social interaction, yet many commercial platforms remain expensive, infrastructure-dependent, and difficult to customize for specific use cases. In addition, most existing solutions focus primarily on audio–video streaming and basic navigation, offering limited autonomy, shallow conversational capability, and almost no explicit emotional expressiveness.</w:t>
      </w:r>
    </w:p>
    <w:p>
      <w:pPr>
        <w:ind w:firstLine="360"/>
        <w:jc w:val="both"/>
      </w:pPr>
      <w:r>
        <w:rPr>
          <w:rFonts w:ascii="Times New Roman" w:hAnsi="Times New Roman"/>
          <w:sz w:val="20"/>
        </w:rPr>
        <w:t>Kenza is designed to address these limitations by integrating edge-based AI, expressive interaction, and user-friendly teleoperation into a single low-cost platform. The system combines a Raspberry Pi for conversational AI, video and audio processing, and web services with an ESP32 for differential-drive control, powered by separate battery packs to improve reliability and runtime. A camera mounted on Kenza supports gesture-based control and vision-only obstacle awareness, removing the need for ultrasonic sensors while opening a path toward advanced capabilities such as person following and visual navigation.</w:t>
      </w:r>
    </w:p>
    <w:p>
      <w:pPr>
        <w:ind w:firstLine="360"/>
        <w:jc w:val="both"/>
      </w:pPr>
      <w:r>
        <w:rPr>
          <w:rFonts w:ascii="Times New Roman" w:hAnsi="Times New Roman"/>
          <w:sz w:val="20"/>
        </w:rPr>
        <w:t>On the interaction side, Kenza employs a dual-model conversational pipeline that routes user queries between a local Llama 3.2 model and an online Gemini backend, enabling fast, humanoid-style dialogue in both online and offline conditions. A front-facing display renders animated eyes and emotional states, transforming the robot from a neutral device into a socially expressive agent that remains visually “alive” even when cloud connectivity is unavailable. A mobile–web application, accessed through QR-based Wi-Fi pairing, unifies motion control, live video access, and eye customization on any smartphone, lowering the barrier to use for non-technical operators.</w:t>
      </w:r>
    </w:p>
    <w:p>
      <w:pPr>
        <w:ind w:firstLine="360"/>
        <w:jc w:val="both"/>
      </w:pPr>
      <w:r>
        <w:rPr>
          <w:rFonts w:ascii="Times New Roman" w:hAnsi="Times New Roman"/>
          <w:sz w:val="20"/>
        </w:rPr>
        <w:t>By combining mobility, edge intelligence, gesture-based teleoperation, and emotional display within a 3D-printed chassis, Kenza aims to provide a practical and affordable telepresence platform for scenarios such as remote caregiving, classroom participation, and social communication for isolated users. The following sections detail the system architecture, interaction design, and implementation methodology, and outline how these design choices position Kenza as a flexible foundation for future enhancements in navigation, multi-language support, and human–robot interaction.</w:t>
      </w:r>
    </w:p>
    <w:p>
      <w:pPr>
        <w:jc w:val="center"/>
      </w:pPr>
      <w:r>
        <w:rPr>
          <w:rFonts w:ascii="Times New Roman" w:hAnsi="Times New Roman"/>
          <w:b/>
          <w:sz w:val="20"/>
        </w:rPr>
        <w:t>II. SYSTEM DESIGN AND USER EXPERIENCE</w:t>
      </w:r>
    </w:p>
    <w:p>
      <w:pPr>
        <w:jc w:val="center"/>
      </w:pPr>
      <w:r>
        <w:rPr>
          <w:rFonts w:ascii="Times New Roman" w:hAnsi="Times New Roman"/>
          <w:i/>
          <w:color w:val="808080"/>
          <w:sz w:val="18"/>
        </w:rPr>
        <w:t>[Figure Placeholder]</w:t>
      </w:r>
    </w:p>
    <w:p>
      <w:pPr>
        <w:jc w:val="center"/>
      </w:pPr>
      <w:r>
        <w:rPr>
          <w:rFonts w:ascii="Times New Roman" w:hAnsi="Times New Roman"/>
          <w:sz w:val="16"/>
        </w:rPr>
        <w:t>Fig. 1. Kenza telepresence robot prototype</w:t>
      </w:r>
    </w:p>
    <w:p>
      <w:pPr>
        <w:ind w:firstLine="360"/>
        <w:jc w:val="both"/>
      </w:pPr>
      <w:r>
        <w:rPr>
          <w:rFonts w:ascii="Times New Roman" w:hAnsi="Times New Roman"/>
          <w:sz w:val="20"/>
        </w:rPr>
        <w:t>This section unifies Kenza’s hardware architecture with its ease-of-use principles, demonstrating how modular components and intuitive interfaces work together to create an accessible telepresence platform. The design prioritizes electrical isolation, vision-based control, expressive feedback, and zero-configuration deployment while maintaining technical performance for real-world HRI applications.</w:t>
      </w:r>
    </w:p>
    <w:p>
      <w:pPr>
        <w:jc w:val="left"/>
      </w:pPr>
      <w:r>
        <w:rPr>
          <w:rFonts w:ascii="Times New Roman" w:hAnsi="Times New Roman"/>
          <w:b/>
          <w:i/>
          <w:sz w:val="20"/>
        </w:rPr>
        <w:t>A. Modular Hardware Architecture</w:t>
      </w:r>
    </w:p>
    <w:p>
      <w:pPr>
        <w:ind w:firstLine="360"/>
        <w:jc w:val="both"/>
      </w:pPr>
      <w:r>
        <w:rPr>
          <w:rFonts w:ascii="Times New Roman" w:hAnsi="Times New Roman"/>
          <w:sz w:val="20"/>
        </w:rPr>
        <w:t>Kenza integrates into a two-layer chassis with separate power domains that prevent electrical interference between compute and actuation. The Raspberry Pi 5 (8GB RAM, Quad-core ARM Cortex-A76) hosts edge AI inference, 720p@15fps video streaming, gesture recognition (MediaPipe Hands), and Flask web server, powered by a dedicated 3.7V 18650 battery pack (2600 mAh). The ESP32 microcontroller manages L298N motor driver (PWM pins 25-27), three-wheel differential drive, and two auxiliary mini DC motors via a second identical battery pack, ensuring motor current spikes never reset the compute subsystem.</w:t>
      </w:r>
    </w:p>
    <w:p>
      <w:pPr>
        <w:ind w:firstLine="360"/>
        <w:jc w:val="both"/>
      </w:pPr>
      <w:r>
        <w:rPr>
          <w:rFonts w:ascii="Times New Roman" w:hAnsi="Times New Roman"/>
          <w:sz w:val="20"/>
        </w:rPr>
        <w:t>A front-facing TFT/LCD display (320x240, HDMI/GPIO) renders 60fps eye animations synchronized with conversational states (listening/thinking/speaking), while the Pi camera (12MP, 1080p@30fps maximum) supports both gesture control and visual obstacle detection at 1.2m mounting height with 60° downward tilt. The 3D-printed enclosure snaps onto a metal/plastic frame, positioning camera/microphone/speaker at human eye level and wheels at the base for stability, with high-current motor wiring physically separated from signal lines.</w:t>
      </w:r>
    </w:p>
    <w:p>
      <w:pPr>
        <w:jc w:val="left"/>
      </w:pPr>
      <w:r>
        <w:rPr>
          <w:rFonts w:ascii="Times New Roman" w:hAnsi="Times New Roman"/>
          <w:b/>
          <w:i/>
          <w:sz w:val="20"/>
        </w:rPr>
        <w:t>B. Zero-Configuration Deployment and QR Pairing</w:t>
      </w:r>
    </w:p>
    <w:p>
      <w:pPr>
        <w:ind w:firstLine="360"/>
        <w:jc w:val="both"/>
      </w:pPr>
      <w:r>
        <w:rPr>
          <w:rFonts w:ascii="Times New Roman" w:hAnsi="Times New Roman"/>
          <w:sz w:val="20"/>
        </w:rPr>
        <w:t>Initial setup requires only Wi-Fi connection and power activation—Kenza boots to operational status within 45 seconds via auto-configuration scripts. The Raspberry Pi generates a QR code encoding its IP:port and session token, which smartphones scan for instant pairing without manual network entry, app installation, or account creation. Boot sequence handles motor zeroing, camera calibration (distortion correction), display positioning, and service daemon launch (web server, AI pipeline, gesture detection).</w:t>
      </w:r>
    </w:p>
    <w:p>
      <w:pPr>
        <w:ind w:firstLine="360"/>
        <w:jc w:val="both"/>
      </w:pPr>
      <w:r>
        <w:rPr>
          <w:rFonts w:ascii="Times New Roman" w:hAnsi="Times New Roman"/>
          <w:sz w:val="20"/>
        </w:rPr>
        <w:t>Total unboxing-to-telepresence time averages 15 minutes, with modular battery packs using standard connectors for field replacement and 3D-printed panels reprintable locally for repairs/customization. This eliminates complex wiring diagrams, specialized tools, or technician intervention required by commercial platforms.</w:t>
      </w:r>
    </w:p>
    <w:p>
      <w:pPr>
        <w:jc w:val="center"/>
      </w:pPr>
      <w:r>
        <w:rPr>
          <w:rFonts w:ascii="Times New Roman" w:hAnsi="Times New Roman"/>
          <w:b/>
          <w:sz w:val="16"/>
        </w:rPr>
        <w:t>TABLE I: HARDWARE COMPONENTS AND SPECIFICATIONS</w:t>
      </w:r>
    </w:p>
    <w:tbl>
      <w:tblPr>
        <w:tblStyle w:val="TableGrid"/>
        <w:tblW w:type="auto" w:w="0"/>
        <w:jc w:val="center"/>
        <w:tblLook w:firstColumn="1" w:firstRow="1" w:lastColumn="0" w:lastRow="0" w:noHBand="0" w:noVBand="1" w:val="04A0"/>
      </w:tblPr>
      <w:tblGrid>
        <w:gridCol w:w="3483"/>
        <w:gridCol w:w="3483"/>
        <w:gridCol w:w="3483"/>
      </w:tblGrid>
      <w:tr>
        <w:tc>
          <w:tcPr>
            <w:tcW w:type="dxa" w:w="3483"/>
            <w:shd w:fill="D9E2F3" w:val="clear"/>
          </w:tcPr>
          <w:p>
            <w:pPr>
              <w:jc w:val="center"/>
            </w:pPr>
            <w:r>
              <w:rPr>
                <w:rFonts w:ascii="Times New Roman" w:hAnsi="Times New Roman"/>
                <w:b/>
                <w:sz w:val="16"/>
              </w:rPr>
              <w:t>Component</w:t>
            </w:r>
          </w:p>
        </w:tc>
        <w:tc>
          <w:tcPr>
            <w:tcW w:type="dxa" w:w="3483"/>
            <w:shd w:fill="D9E2F3" w:val="clear"/>
          </w:tcPr>
          <w:p>
            <w:pPr>
              <w:jc w:val="center"/>
            </w:pPr>
            <w:r>
              <w:rPr>
                <w:rFonts w:ascii="Times New Roman" w:hAnsi="Times New Roman"/>
                <w:b/>
                <w:sz w:val="16"/>
              </w:rPr>
              <w:t>Function</w:t>
            </w:r>
          </w:p>
        </w:tc>
        <w:tc>
          <w:tcPr>
            <w:tcW w:type="dxa" w:w="3483"/>
            <w:shd w:fill="D9E2F3" w:val="clear"/>
          </w:tcPr>
          <w:p>
            <w:pPr>
              <w:jc w:val="center"/>
            </w:pPr>
            <w:r>
              <w:rPr>
                <w:rFonts w:ascii="Times New Roman" w:hAnsi="Times New Roman"/>
                <w:b/>
                <w:sz w:val="16"/>
              </w:rPr>
              <w:t>Specifications</w:t>
            </w:r>
          </w:p>
        </w:tc>
      </w:tr>
      <w:tr>
        <w:tc>
          <w:tcPr>
            <w:tcW w:type="dxa" w:w="3483"/>
          </w:tcPr>
          <w:p>
            <w:pPr>
              <w:jc w:val="center"/>
            </w:pPr>
            <w:r>
              <w:rPr>
                <w:rFonts w:ascii="Times New Roman" w:hAnsi="Times New Roman"/>
                <w:sz w:val="16"/>
              </w:rPr>
              <w:t>Raspberry Pi 5</w:t>
            </w:r>
          </w:p>
        </w:tc>
        <w:tc>
          <w:tcPr>
            <w:tcW w:type="dxa" w:w="3483"/>
          </w:tcPr>
          <w:p>
            <w:pPr>
              <w:jc w:val="center"/>
            </w:pPr>
            <w:r>
              <w:rPr>
                <w:rFonts w:ascii="Times New Roman" w:hAnsi="Times New Roman"/>
                <w:sz w:val="16"/>
              </w:rPr>
              <w:t>Edge AI, video, web server</w:t>
            </w:r>
          </w:p>
        </w:tc>
        <w:tc>
          <w:tcPr>
            <w:tcW w:type="dxa" w:w="3483"/>
          </w:tcPr>
          <w:p>
            <w:pPr>
              <w:jc w:val="center"/>
            </w:pPr>
            <w:r>
              <w:rPr>
                <w:rFonts w:ascii="Times New Roman" w:hAnsi="Times New Roman"/>
                <w:sz w:val="16"/>
              </w:rPr>
              <w:t>Quad-core ARM Cortex-A76, 8GB RAM</w:t>
            </w:r>
          </w:p>
        </w:tc>
      </w:tr>
      <w:tr>
        <w:tc>
          <w:tcPr>
            <w:tcW w:type="dxa" w:w="3483"/>
          </w:tcPr>
          <w:p>
            <w:pPr>
              <w:jc w:val="center"/>
            </w:pPr>
            <w:r>
              <w:rPr>
                <w:rFonts w:ascii="Times New Roman" w:hAnsi="Times New Roman"/>
                <w:sz w:val="16"/>
              </w:rPr>
              <w:t>ESP32</w:t>
            </w:r>
          </w:p>
        </w:tc>
        <w:tc>
          <w:tcPr>
            <w:tcW w:type="dxa" w:w="3483"/>
          </w:tcPr>
          <w:p>
            <w:pPr>
              <w:jc w:val="center"/>
            </w:pPr>
            <w:r>
              <w:rPr>
                <w:rFonts w:ascii="Times New Roman" w:hAnsi="Times New Roman"/>
                <w:sz w:val="16"/>
              </w:rPr>
              <w:t>Motor and actuator control</w:t>
            </w:r>
          </w:p>
        </w:tc>
        <w:tc>
          <w:tcPr>
            <w:tcW w:type="dxa" w:w="3483"/>
          </w:tcPr>
          <w:p>
            <w:pPr>
              <w:jc w:val="center"/>
            </w:pPr>
            <w:r>
              <w:rPr>
                <w:rFonts w:ascii="Times New Roman" w:hAnsi="Times New Roman"/>
                <w:sz w:val="16"/>
              </w:rPr>
              <w:t>Dual-core Xtensa LX6, Wi-Fi</w:t>
            </w:r>
          </w:p>
        </w:tc>
      </w:tr>
      <w:tr>
        <w:tc>
          <w:tcPr>
            <w:tcW w:type="dxa" w:w="3483"/>
          </w:tcPr>
          <w:p>
            <w:pPr>
              <w:jc w:val="center"/>
            </w:pPr>
            <w:r>
              <w:rPr>
                <w:rFonts w:ascii="Times New Roman" w:hAnsi="Times New Roman"/>
                <w:sz w:val="16"/>
              </w:rPr>
              <w:t>L298N Driver</w:t>
            </w:r>
          </w:p>
        </w:tc>
        <w:tc>
          <w:tcPr>
            <w:tcW w:type="dxa" w:w="3483"/>
          </w:tcPr>
          <w:p>
            <w:pPr>
              <w:jc w:val="center"/>
            </w:pPr>
            <w:r>
              <w:rPr>
                <w:rFonts w:ascii="Times New Roman" w:hAnsi="Times New Roman"/>
                <w:sz w:val="16"/>
              </w:rPr>
              <w:t>DC motor drive</w:t>
            </w:r>
          </w:p>
        </w:tc>
        <w:tc>
          <w:tcPr>
            <w:tcW w:type="dxa" w:w="3483"/>
          </w:tcPr>
          <w:p>
            <w:pPr>
              <w:jc w:val="center"/>
            </w:pPr>
            <w:r>
              <w:rPr>
                <w:rFonts w:ascii="Times New Roman" w:hAnsi="Times New Roman"/>
                <w:sz w:val="16"/>
              </w:rPr>
              <w:t>2 A per channel, dual H-bridge</w:t>
            </w:r>
          </w:p>
        </w:tc>
      </w:tr>
      <w:tr>
        <w:tc>
          <w:tcPr>
            <w:tcW w:type="dxa" w:w="3483"/>
          </w:tcPr>
          <w:p>
            <w:pPr>
              <w:jc w:val="center"/>
            </w:pPr>
            <w:r>
              <w:rPr>
                <w:rFonts w:ascii="Times New Roman" w:hAnsi="Times New Roman"/>
                <w:sz w:val="16"/>
              </w:rPr>
              <w:t>Pi Camera</w:t>
            </w:r>
          </w:p>
        </w:tc>
        <w:tc>
          <w:tcPr>
            <w:tcW w:type="dxa" w:w="3483"/>
          </w:tcPr>
          <w:p>
            <w:pPr>
              <w:jc w:val="center"/>
            </w:pPr>
            <w:r>
              <w:rPr>
                <w:rFonts w:ascii="Times New Roman" w:hAnsi="Times New Roman"/>
                <w:sz w:val="16"/>
              </w:rPr>
              <w:t>Gesture control, visual navigation</w:t>
            </w:r>
          </w:p>
        </w:tc>
        <w:tc>
          <w:tcPr>
            <w:tcW w:type="dxa" w:w="3483"/>
          </w:tcPr>
          <w:p>
            <w:pPr>
              <w:jc w:val="center"/>
            </w:pPr>
            <w:r>
              <w:rPr>
                <w:rFonts w:ascii="Times New Roman" w:hAnsi="Times New Roman"/>
                <w:sz w:val="16"/>
              </w:rPr>
              <w:t>12 MP, 1080p at 30 fps</w:t>
            </w:r>
          </w:p>
        </w:tc>
      </w:tr>
      <w:tr>
        <w:tc>
          <w:tcPr>
            <w:tcW w:type="dxa" w:w="3483"/>
          </w:tcPr>
          <w:p>
            <w:pPr>
              <w:jc w:val="center"/>
            </w:pPr>
            <w:r>
              <w:rPr>
                <w:rFonts w:ascii="Times New Roman" w:hAnsi="Times New Roman"/>
                <w:sz w:val="16"/>
              </w:rPr>
              <w:t>Display Screen</w:t>
            </w:r>
          </w:p>
        </w:tc>
        <w:tc>
          <w:tcPr>
            <w:tcW w:type="dxa" w:w="3483"/>
          </w:tcPr>
          <w:p>
            <w:pPr>
              <w:jc w:val="center"/>
            </w:pPr>
            <w:r>
              <w:rPr>
                <w:rFonts w:ascii="Times New Roman" w:hAnsi="Times New Roman"/>
                <w:sz w:val="16"/>
              </w:rPr>
              <w:t>Emotional eye display, UI feedback</w:t>
            </w:r>
          </w:p>
        </w:tc>
        <w:tc>
          <w:tcPr>
            <w:tcW w:type="dxa" w:w="3483"/>
          </w:tcPr>
          <w:p>
            <w:pPr>
              <w:jc w:val="center"/>
            </w:pPr>
            <w:r>
              <w:rPr>
                <w:rFonts w:ascii="Times New Roman" w:hAnsi="Times New Roman"/>
                <w:sz w:val="16"/>
              </w:rPr>
              <w:t>Small TFT/LCD panel, HDMI/GPIO interface</w:t>
            </w:r>
          </w:p>
        </w:tc>
      </w:tr>
      <w:tr>
        <w:tc>
          <w:tcPr>
            <w:tcW w:type="dxa" w:w="3483"/>
          </w:tcPr>
          <w:p>
            <w:pPr>
              <w:jc w:val="center"/>
            </w:pPr>
            <w:r>
              <w:rPr>
                <w:rFonts w:ascii="Times New Roman" w:hAnsi="Times New Roman"/>
                <w:sz w:val="16"/>
              </w:rPr>
              <w:t>Main DC Motors</w:t>
            </w:r>
          </w:p>
        </w:tc>
        <w:tc>
          <w:tcPr>
            <w:tcW w:type="dxa" w:w="3483"/>
          </w:tcPr>
          <w:p>
            <w:pPr>
              <w:jc w:val="center"/>
            </w:pPr>
            <w:r>
              <w:rPr>
                <w:rFonts w:ascii="Times New Roman" w:hAnsi="Times New Roman"/>
                <w:sz w:val="16"/>
              </w:rPr>
              <w:t>Differential drive locomotion</w:t>
            </w:r>
          </w:p>
        </w:tc>
        <w:tc>
          <w:tcPr>
            <w:tcW w:type="dxa" w:w="3483"/>
          </w:tcPr>
          <w:p>
            <w:pPr>
              <w:jc w:val="center"/>
            </w:pPr>
            <w:r>
              <w:rPr>
                <w:rFonts w:ascii="Times New Roman" w:hAnsi="Times New Roman"/>
                <w:sz w:val="16"/>
              </w:rPr>
              <w:t>3-wheel base, 6–12 V DC motors</w:t>
            </w:r>
          </w:p>
        </w:tc>
      </w:tr>
      <w:tr>
        <w:tc>
          <w:tcPr>
            <w:tcW w:type="dxa" w:w="3483"/>
          </w:tcPr>
          <w:p>
            <w:pPr>
              <w:jc w:val="center"/>
            </w:pPr>
            <w:r>
              <w:rPr>
                <w:rFonts w:ascii="Times New Roman" w:hAnsi="Times New Roman"/>
                <w:sz w:val="16"/>
              </w:rPr>
              <w:t>Mini DC Motors</w:t>
            </w:r>
          </w:p>
        </w:tc>
        <w:tc>
          <w:tcPr>
            <w:tcW w:type="dxa" w:w="3483"/>
          </w:tcPr>
          <w:p>
            <w:pPr>
              <w:jc w:val="center"/>
            </w:pPr>
            <w:r>
              <w:rPr>
                <w:rFonts w:ascii="Times New Roman" w:hAnsi="Times New Roman"/>
                <w:sz w:val="16"/>
              </w:rPr>
              <w:t>Auxiliary motion (e.g., head/display)</w:t>
            </w:r>
          </w:p>
        </w:tc>
        <w:tc>
          <w:tcPr>
            <w:tcW w:type="dxa" w:w="3483"/>
          </w:tcPr>
          <w:p>
            <w:pPr>
              <w:jc w:val="center"/>
            </w:pPr>
            <w:r>
              <w:rPr>
                <w:rFonts w:ascii="Times New Roman" w:hAnsi="Times New Roman"/>
                <w:sz w:val="16"/>
              </w:rPr>
              <w:t>Low-power DC motors</w:t>
            </w:r>
          </w:p>
        </w:tc>
      </w:tr>
      <w:tr>
        <w:tc>
          <w:tcPr>
            <w:tcW w:type="dxa" w:w="3483"/>
          </w:tcPr>
          <w:p>
            <w:pPr>
              <w:jc w:val="center"/>
            </w:pPr>
            <w:r>
              <w:rPr>
                <w:rFonts w:ascii="Times New Roman" w:hAnsi="Times New Roman"/>
                <w:sz w:val="16"/>
              </w:rPr>
              <w:t>Compute Battery Pack</w:t>
            </w:r>
          </w:p>
        </w:tc>
        <w:tc>
          <w:tcPr>
            <w:tcW w:type="dxa" w:w="3483"/>
          </w:tcPr>
          <w:p>
            <w:pPr>
              <w:jc w:val="center"/>
            </w:pPr>
            <w:r>
              <w:rPr>
                <w:rFonts w:ascii="Times New Roman" w:hAnsi="Times New Roman"/>
                <w:sz w:val="16"/>
              </w:rPr>
              <w:t>Power for Raspberry Pi and display</w:t>
            </w:r>
          </w:p>
        </w:tc>
        <w:tc>
          <w:tcPr>
            <w:tcW w:type="dxa" w:w="3483"/>
          </w:tcPr>
          <w:p>
            <w:pPr>
              <w:jc w:val="center"/>
            </w:pPr>
            <w:r>
              <w:rPr>
                <w:rFonts w:ascii="Times New Roman" w:hAnsi="Times New Roman"/>
                <w:sz w:val="16"/>
              </w:rPr>
              <w:t>3.7 V Li-ion pack (e.g., 18650 cells)</w:t>
            </w:r>
          </w:p>
        </w:tc>
      </w:tr>
      <w:tr>
        <w:tc>
          <w:tcPr>
            <w:tcW w:type="dxa" w:w="3483"/>
          </w:tcPr>
          <w:p>
            <w:pPr>
              <w:jc w:val="center"/>
            </w:pPr>
            <w:r>
              <w:rPr>
                <w:rFonts w:ascii="Times New Roman" w:hAnsi="Times New Roman"/>
                <w:sz w:val="16"/>
              </w:rPr>
              <w:t>Drive Battery Pack</w:t>
            </w:r>
          </w:p>
        </w:tc>
        <w:tc>
          <w:tcPr>
            <w:tcW w:type="dxa" w:w="3483"/>
          </w:tcPr>
          <w:p>
            <w:pPr>
              <w:jc w:val="center"/>
            </w:pPr>
            <w:r>
              <w:rPr>
                <w:rFonts w:ascii="Times New Roman" w:hAnsi="Times New Roman"/>
                <w:sz w:val="16"/>
              </w:rPr>
              <w:t>Power for ESP32 and motors</w:t>
            </w:r>
          </w:p>
        </w:tc>
        <w:tc>
          <w:tcPr>
            <w:tcW w:type="dxa" w:w="3483"/>
          </w:tcPr>
          <w:p>
            <w:pPr>
              <w:jc w:val="center"/>
            </w:pPr>
            <w:r>
              <w:rPr>
                <w:rFonts w:ascii="Times New Roman" w:hAnsi="Times New Roman"/>
                <w:sz w:val="16"/>
              </w:rPr>
              <w:t>3.7 V Li-ion pack (e.g., 18650 cells)</w:t>
            </w:r>
          </w:p>
        </w:tc>
      </w:tr>
      <w:tr>
        <w:tc>
          <w:tcPr>
            <w:tcW w:type="dxa" w:w="3483"/>
          </w:tcPr>
          <w:p>
            <w:pPr>
              <w:jc w:val="center"/>
            </w:pPr>
            <w:r>
              <w:rPr>
                <w:rFonts w:ascii="Times New Roman" w:hAnsi="Times New Roman"/>
                <w:sz w:val="16"/>
              </w:rPr>
              <w:t>Chassis &amp; 3D Body</w:t>
            </w:r>
          </w:p>
        </w:tc>
        <w:tc>
          <w:tcPr>
            <w:tcW w:type="dxa" w:w="3483"/>
          </w:tcPr>
          <w:p>
            <w:pPr>
              <w:jc w:val="center"/>
            </w:pPr>
            <w:r>
              <w:rPr>
                <w:rFonts w:ascii="Times New Roman" w:hAnsi="Times New Roman"/>
                <w:sz w:val="16"/>
              </w:rPr>
              <w:t>Structural support, enclosure</w:t>
            </w:r>
          </w:p>
        </w:tc>
        <w:tc>
          <w:tcPr>
            <w:tcW w:type="dxa" w:w="3483"/>
          </w:tcPr>
          <w:p>
            <w:pPr>
              <w:jc w:val="center"/>
            </w:pPr>
            <w:r>
              <w:rPr>
                <w:rFonts w:ascii="Times New Roman" w:hAnsi="Times New Roman"/>
                <w:sz w:val="16"/>
              </w:rPr>
              <w:t>Metal/plastic frame with 3D-printed shell</w:t>
            </w:r>
          </w:p>
        </w:tc>
      </w:tr>
    </w:tbl>
    <w:p>
      <w:pPr>
        <w:jc w:val="left"/>
      </w:pPr>
      <w:r>
        <w:rPr>
          <w:rFonts w:ascii="Times New Roman" w:hAnsi="Times New Roman"/>
          <w:b/>
          <w:i/>
          <w:sz w:val="20"/>
        </w:rPr>
        <w:t>C. Unified Vision-Based Control Pipeline</w:t>
      </w:r>
    </w:p>
    <w:p>
      <w:pPr>
        <w:ind w:firstLine="360"/>
        <w:jc w:val="both"/>
      </w:pPr>
      <w:r>
        <w:rPr>
          <w:rFonts w:ascii="Times New Roman" w:hAnsi="Times New Roman"/>
          <w:sz w:val="20"/>
        </w:rPr>
        <w:t>The Pi camera serves triple duty: live streaming, gesture recognition (15fps MediaPipe Hands detecting open-palm/closed-fist/left-right swipes at 92% accuracy within 1-2m), and obstacle awareness (frame differencing detecting &lt;50cm objects with 180ms stop latency). Gesture commands generate identical JSON packets (“cmd”:“forward”,“speed”:180) as web interface buttons, routing through unified motion controller to ESP32 without mode switching.</w:t>
      </w:r>
    </w:p>
    <w:p>
      <w:pPr>
        <w:ind w:firstLine="360"/>
        <w:jc w:val="both"/>
      </w:pPr>
      <w:r>
        <w:rPr>
          <w:rFonts w:ascii="Times New Roman" w:hAnsi="Times New Roman"/>
          <w:sz w:val="20"/>
        </w:rPr>
        <w:t>Vision safety continuously analyzes ground-plane occupancy, overriding all motion inputs (web/gesture/voice) when obstacles appear, eliminating ultrasonic sensor alignment issues while sharing computational resources. Remote operators view the same processed feed through responsive web UI (motion buttons, live H.264 video, eye customization sliders), enabling seamless teleoperation regardless of input method.</w:t>
      </w:r>
    </w:p>
    <w:p>
      <w:pPr>
        <w:jc w:val="left"/>
      </w:pPr>
      <w:r>
        <w:rPr>
          <w:rFonts w:ascii="Times New Roman" w:hAnsi="Times New Roman"/>
          <w:b/>
          <w:i/>
          <w:sz w:val="20"/>
        </w:rPr>
        <w:t>D. Dual-Mode Conversational AI with Expressive Display</w:t>
      </w:r>
    </w:p>
    <w:p>
      <w:pPr>
        <w:ind w:firstLine="360"/>
        <w:jc w:val="both"/>
      </w:pPr>
      <w:r>
        <w:rPr>
          <w:rFonts w:ascii="Times New Roman" w:hAnsi="Times New Roman"/>
          <w:sz w:val="20"/>
        </w:rPr>
        <w:t>Wake-word “Kenza” (Porcupine, 0.5 sensitivity) triggers speech pipeline: 16kHz audio → Google STT (95% WER) → keyword routing (Llama 3.2 1B local: 850ms for general dialogue; Gemini 1.5 Flash: &lt;650ms factual) → gTTS synthesis (22kHz). The front display synchronizes eye animations: pulsing cyan (listening), rotating spiral (thinking), blink-sync (speaking), happy/neutral/confused (sentiment analysis), maintaining visual aliveness even offline.</w:t>
      </w:r>
    </w:p>
    <w:p>
      <w:pPr>
        <w:jc w:val="center"/>
      </w:pPr>
      <w:r>
        <w:rPr>
          <w:rFonts w:ascii="Times New Roman" w:hAnsi="Times New Roman"/>
          <w:i/>
          <w:color w:val="808080"/>
          <w:sz w:val="18"/>
        </w:rPr>
        <w:t>[Figure Placeholder]</w:t>
      </w:r>
    </w:p>
    <w:p>
      <w:pPr>
        <w:jc w:val="center"/>
      </w:pPr>
      <w:r>
        <w:rPr>
          <w:rFonts w:ascii="Times New Roman" w:hAnsi="Times New Roman"/>
          <w:sz w:val="16"/>
        </w:rPr>
        <w:t>Fig. 2. Camera-based gesture control pipeline: (a) left-swipe turn-left</w:t>
      </w:r>
    </w:p>
    <w:p>
      <w:pPr>
        <w:ind w:firstLine="360"/>
        <w:jc w:val="both"/>
      </w:pPr>
      <w:r>
        <w:rPr>
          <w:rFonts w:ascii="Times New Roman" w:hAnsi="Times New Roman"/>
          <w:sz w:val="20"/>
        </w:rPr>
        <w:t>Battery/network/mode status influences baseline expressions (tired eyes at &lt;20%, worried at disconnect), providing non-verbal cues without secondary indicators. Web interface offers real-time customization (12 eye shapes, color picker, animation speed) alongside diagnostics dashboard, unifying teleoperation with personality adjustment.</w:t>
      </w:r>
    </w:p>
    <w:p>
      <w:pPr>
        <w:jc w:val="center"/>
      </w:pPr>
      <w:r>
        <w:rPr>
          <w:rFonts w:ascii="Times New Roman" w:hAnsi="Times New Roman"/>
          <w:i/>
          <w:color w:val="808080"/>
          <w:sz w:val="18"/>
        </w:rPr>
        <w:t>[Figure Placeholder]</w:t>
      </w:r>
    </w:p>
    <w:p>
      <w:pPr>
        <w:jc w:val="center"/>
      </w:pPr>
      <w:r>
        <w:rPr>
          <w:rFonts w:ascii="Times New Roman" w:hAnsi="Times New Roman"/>
          <w:sz w:val="16"/>
        </w:rPr>
        <w:t>Fig. 3. Kenza mobile web interface after QR pairing</w:t>
      </w:r>
    </w:p>
    <w:p>
      <w:pPr>
        <w:jc w:val="left"/>
      </w:pPr>
      <w:r>
        <w:rPr>
          <w:rFonts w:ascii="Times New Roman" w:hAnsi="Times New Roman"/>
          <w:b/>
          <w:i/>
          <w:sz w:val="20"/>
        </w:rPr>
        <w:t>E. Communication Architecture and Safety Integration</w:t>
      </w:r>
    </w:p>
    <w:p>
      <w:pPr>
        <w:ind w:firstLine="360"/>
        <w:jc w:val="both"/>
      </w:pPr>
      <w:r>
        <w:rPr>
          <w:rFonts w:ascii="Times New Roman" w:hAnsi="Times New Roman"/>
          <w:sz w:val="20"/>
        </w:rPr>
        <w:t>Raspberry Pi coordinates via JSON-over-WebSocket (10Hz control updates) with ESP32 (50Hz motor loop, PID velocity Kp=1.2), supporting OTA firmware updates and 24h motion logging. Safety layers cascade: ESP32 watchdog (2s), Pi vision override (&lt;200ms), web/gesture/voice emergency stop—all zeroing PWM outputs.</w:t>
      </w:r>
    </w:p>
    <w:p>
      <w:pPr>
        <w:jc w:val="center"/>
      </w:pPr>
      <w:r>
        <w:rPr>
          <w:rFonts w:ascii="Times New Roman" w:hAnsi="Times New Roman"/>
          <w:i/>
          <w:color w:val="808080"/>
          <w:sz w:val="18"/>
        </w:rPr>
        <w:t>[Figure Placeholder]</w:t>
      </w:r>
    </w:p>
    <w:p>
      <w:pPr>
        <w:jc w:val="center"/>
      </w:pPr>
      <w:r>
        <w:rPr>
          <w:rFonts w:ascii="Times New Roman" w:hAnsi="Times New Roman"/>
          <w:sz w:val="16"/>
        </w:rPr>
        <w:t>Fig. 4. Kenza system workflow: unified camera pipeline feeds gesture control, obstacle detection, and teleoperation simultaneously.</w:t>
      </w:r>
    </w:p>
    <w:p>
      <w:pPr>
        <w:ind w:firstLine="360"/>
        <w:jc w:val="both"/>
      </w:pPr>
      <w:r>
        <w:rPr>
          <w:rFonts w:ascii="Times New Roman" w:hAnsi="Times New Roman"/>
          <w:sz w:val="20"/>
        </w:rPr>
        <w:t>This integrated design delivers 2+ hours untethered operation (2.8W Pi, 4.2W peak drive), thermal stability (&lt;70°C), and 88% indoor navigation reliability while maintaining conversational fluency and social expressiveness characteristic of higher-end platforms.</w:t>
      </w:r>
    </w:p>
    <w:p>
      <w:pPr>
        <w:jc w:val="center"/>
      </w:pPr>
      <w:r>
        <w:rPr>
          <w:rFonts w:ascii="Times New Roman" w:hAnsi="Times New Roman"/>
          <w:b/>
          <w:sz w:val="20"/>
        </w:rPr>
        <w:t>III. RELATED WORKS</w:t>
      </w:r>
    </w:p>
    <w:p>
      <w:pPr>
        <w:jc w:val="left"/>
      </w:pPr>
      <w:r>
        <w:rPr>
          <w:rFonts w:ascii="Times New Roman" w:hAnsi="Times New Roman"/>
          <w:b/>
          <w:i/>
          <w:sz w:val="20"/>
        </w:rPr>
        <w:t>A. Telepresence Robotics</w:t>
      </w:r>
    </w:p>
    <w:p>
      <w:pPr>
        <w:ind w:firstLine="360"/>
        <w:jc w:val="both"/>
      </w:pPr>
      <w:r>
        <w:rPr>
          <w:rFonts w:ascii="Times New Roman" w:hAnsi="Times New Roman"/>
          <w:sz w:val="20"/>
        </w:rPr>
        <w:t>Commercial platforms such as Beam, Double Robotics, and VGo provide remote mobility with audiovisual communication but rely heavily on cloud infrastructure and continuous operator control. Research prototypes demonstrate social benefits for homebound older adults, enabling museum visits and family interactions, yet face challenges in social acceptance and intuitive control. These systems lack autonomous conversational capabilities, limiting engagement when remote operators are unavailable.</w:t>
      </w:r>
    </w:p>
    <w:p>
      <w:pPr>
        <w:jc w:val="left"/>
      </w:pPr>
      <w:r>
        <w:rPr>
          <w:rFonts w:ascii="Times New Roman" w:hAnsi="Times New Roman"/>
          <w:b/>
          <w:i/>
          <w:sz w:val="20"/>
        </w:rPr>
        <w:t>B. Mobile Robot Localization and Navigation</w:t>
      </w:r>
    </w:p>
    <w:p>
      <w:pPr>
        <w:ind w:firstLine="360"/>
        <w:jc w:val="both"/>
      </w:pPr>
      <w:r>
        <w:rPr>
          <w:rFonts w:ascii="Times New Roman" w:hAnsi="Times New Roman"/>
          <w:sz w:val="20"/>
        </w:rPr>
        <w:t>Probabilistic localization techniques including Extended Kalman Filters (EKF) and Monte Carlo Localization (MCL) enable accurate indoor navigation, while Visual SLAM integrates deep learning for robust mapping in dynamic environments. ROS frameworks facilitate sensor fusion and real-time HRI through standardized message passing, supporting multimodal person tracking. However, these navigation stacks are rarely deployed on low-cost edge hardware suitable for telepresence applications.</w:t>
      </w:r>
    </w:p>
    <w:p>
      <w:pPr>
        <w:jc w:val="left"/>
      </w:pPr>
      <w:r>
        <w:rPr>
          <w:rFonts w:ascii="Times New Roman" w:hAnsi="Times New Roman"/>
          <w:b/>
          <w:i/>
          <w:sz w:val="20"/>
        </w:rPr>
        <w:t>C. Conversational AI Integration</w:t>
      </w:r>
    </w:p>
    <w:p>
      <w:pPr>
        <w:ind w:firstLine="360"/>
        <w:jc w:val="both"/>
      </w:pPr>
      <w:r>
        <w:rPr>
          <w:rFonts w:ascii="Times New Roman" w:hAnsi="Times New Roman"/>
          <w:sz w:val="20"/>
        </w:rPr>
        <w:t>Transformer-based dialogue systems and multi-level LLM architectures improve intent recognition and response latency in service robots, with hierarchical routing outperforming single large models. Automatic Speech Recognition (ASR) evaluations show Google Speech-to-Text and Whisper achieving low Word Error Rates (WER) for real-time applications. Current implementations prioritize cloud processing, creating latency issues and privacy concerns for continuous HRI.</w:t>
      </w:r>
    </w:p>
    <w:p>
      <w:pPr>
        <w:jc w:val="center"/>
      </w:pPr>
      <w:r>
        <w:rPr>
          <w:rFonts w:ascii="Times New Roman" w:hAnsi="Times New Roman"/>
          <w:b/>
          <w:sz w:val="16"/>
        </w:rPr>
        <w:t>TABLE II: COMPARISON OF EXISTING TELEPRESENCE SYSTEMS</w:t>
      </w:r>
    </w:p>
    <w:tbl>
      <w:tblPr>
        <w:tblStyle w:val="TableGrid"/>
        <w:tblW w:type="auto" w:w="0"/>
        <w:jc w:val="center"/>
        <w:tblLook w:firstColumn="1" w:firstRow="1" w:lastColumn="0" w:lastRow="0" w:noHBand="0" w:noVBand="1" w:val="04A0"/>
      </w:tblPr>
      <w:tblGrid>
        <w:gridCol w:w="1741"/>
        <w:gridCol w:w="1741"/>
        <w:gridCol w:w="1741"/>
        <w:gridCol w:w="1741"/>
        <w:gridCol w:w="1741"/>
        <w:gridCol w:w="1741"/>
      </w:tblGrid>
      <w:tr>
        <w:tc>
          <w:tcPr>
            <w:tcW w:type="dxa" w:w="1741"/>
            <w:shd w:fill="D9E2F3" w:val="clear"/>
          </w:tcPr>
          <w:p>
            <w:pPr>
              <w:jc w:val="center"/>
            </w:pPr>
            <w:r>
              <w:rPr>
                <w:rFonts w:ascii="Times New Roman" w:hAnsi="Times New Roman"/>
                <w:b/>
                <w:sz w:val="16"/>
              </w:rPr>
              <w:t>System</w:t>
            </w:r>
          </w:p>
        </w:tc>
        <w:tc>
          <w:tcPr>
            <w:tcW w:type="dxa" w:w="1741"/>
            <w:shd w:fill="D9E2F3" w:val="clear"/>
          </w:tcPr>
          <w:p>
            <w:pPr>
              <w:jc w:val="center"/>
            </w:pPr>
            <w:r>
              <w:rPr>
                <w:rFonts w:ascii="Times New Roman" w:hAnsi="Times New Roman"/>
                <w:b/>
                <w:sz w:val="16"/>
              </w:rPr>
              <w:t>Mobility</w:t>
            </w:r>
          </w:p>
        </w:tc>
        <w:tc>
          <w:tcPr>
            <w:tcW w:type="dxa" w:w="1741"/>
            <w:shd w:fill="D9E2F3" w:val="clear"/>
          </w:tcPr>
          <w:p>
            <w:pPr>
              <w:jc w:val="center"/>
            </w:pPr>
            <w:r>
              <w:rPr>
                <w:rFonts w:ascii="Times New Roman" w:hAnsi="Times New Roman"/>
                <w:b/>
                <w:sz w:val="16"/>
              </w:rPr>
              <w:t>Local AI</w:t>
            </w:r>
          </w:p>
        </w:tc>
        <w:tc>
          <w:tcPr>
            <w:tcW w:type="dxa" w:w="1741"/>
            <w:shd w:fill="D9E2F3" w:val="clear"/>
          </w:tcPr>
          <w:p>
            <w:pPr>
              <w:jc w:val="center"/>
            </w:pPr>
            <w:r>
              <w:rPr>
                <w:rFonts w:ascii="Times New Roman" w:hAnsi="Times New Roman"/>
                <w:b/>
                <w:sz w:val="16"/>
              </w:rPr>
              <w:t>Cost</w:t>
            </w:r>
          </w:p>
        </w:tc>
        <w:tc>
          <w:tcPr>
            <w:tcW w:type="dxa" w:w="1741"/>
            <w:shd w:fill="D9E2F3" w:val="clear"/>
          </w:tcPr>
          <w:p>
            <w:pPr>
              <w:jc w:val="center"/>
            </w:pPr>
            <w:r>
              <w:rPr>
                <w:rFonts w:ascii="Times New Roman" w:hAnsi="Times New Roman"/>
                <w:b/>
                <w:sz w:val="16"/>
              </w:rPr>
              <w:t>Dual-Mode</w:t>
            </w:r>
          </w:p>
        </w:tc>
        <w:tc>
          <w:tcPr>
            <w:tcW w:type="dxa" w:w="1741"/>
            <w:shd w:fill="D9E2F3" w:val="clear"/>
          </w:tcPr>
          <w:p>
            <w:pPr>
              <w:jc w:val="center"/>
            </w:pPr>
            <w:r>
              <w:rPr>
                <w:rFonts w:ascii="Times New Roman" w:hAnsi="Times New Roman"/>
                <w:b/>
                <w:sz w:val="16"/>
              </w:rPr>
              <w:t>Offline Capable</w:t>
            </w:r>
          </w:p>
        </w:tc>
      </w:tr>
      <w:tr>
        <w:tc>
          <w:tcPr>
            <w:tcW w:type="dxa" w:w="1741"/>
          </w:tcPr>
          <w:p>
            <w:pPr>
              <w:jc w:val="center"/>
            </w:pPr>
            <w:r>
              <w:rPr>
                <w:rFonts w:ascii="Times New Roman" w:hAnsi="Times New Roman"/>
                <w:sz w:val="16"/>
              </w:rPr>
              <w:t>Beam</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High</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r>
      <w:tr>
        <w:tc>
          <w:tcPr>
            <w:tcW w:type="dxa" w:w="1741"/>
          </w:tcPr>
          <w:p>
            <w:pPr>
              <w:jc w:val="center"/>
            </w:pPr>
            <w:r>
              <w:rPr>
                <w:rFonts w:ascii="Times New Roman" w:hAnsi="Times New Roman"/>
                <w:sz w:val="16"/>
              </w:rPr>
              <w:t>Double</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High</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r>
      <w:tr>
        <w:tc>
          <w:tcPr>
            <w:tcW w:type="dxa" w:w="1741"/>
          </w:tcPr>
          <w:p>
            <w:pPr>
              <w:jc w:val="center"/>
            </w:pPr>
            <w:r>
              <w:rPr>
                <w:rFonts w:ascii="Times New Roman" w:hAnsi="Times New Roman"/>
                <w:sz w:val="16"/>
              </w:rPr>
              <w:t>ROS-HRI</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Partial</w:t>
            </w:r>
          </w:p>
        </w:tc>
        <w:tc>
          <w:tcPr>
            <w:tcW w:type="dxa" w:w="1741"/>
          </w:tcPr>
          <w:p>
            <w:pPr>
              <w:jc w:val="center"/>
            </w:pPr>
            <w:r>
              <w:rPr>
                <w:rFonts w:ascii="Times New Roman" w:hAnsi="Times New Roman"/>
                <w:sz w:val="16"/>
              </w:rPr>
              <w:t>Medium</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Partial</w:t>
            </w:r>
          </w:p>
        </w:tc>
      </w:tr>
      <w:tr>
        <w:tc>
          <w:tcPr>
            <w:tcW w:type="dxa" w:w="1741"/>
          </w:tcPr>
          <w:p>
            <w:pPr>
              <w:jc w:val="center"/>
            </w:pPr>
            <w:r>
              <w:rPr>
                <w:rFonts w:ascii="Times New Roman" w:hAnsi="Times New Roman"/>
                <w:sz w:val="16"/>
              </w:rPr>
              <w:t>Proposed</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Low</w:t>
            </w:r>
          </w:p>
        </w:tc>
        <w:tc>
          <w:tcPr>
            <w:tcW w:type="dxa" w:w="1741"/>
          </w:tcPr>
          <w:p>
            <w:pPr>
              <w:jc w:val="center"/>
            </w:pPr>
            <w:r>
              <w:rPr>
                <w:rFonts w:ascii="Times New Roman" w:hAnsi="Times New Roman"/>
                <w:sz w:val="16"/>
              </w:rPr>
              <w:t>✓</w:t>
            </w:r>
          </w:p>
        </w:tc>
        <w:tc>
          <w:tcPr>
            <w:tcW w:type="dxa" w:w="1741"/>
          </w:tcPr>
          <w:p>
            <w:pPr>
              <w:jc w:val="center"/>
            </w:pPr>
            <w:r>
              <w:rPr>
                <w:rFonts w:ascii="Times New Roman" w:hAnsi="Times New Roman"/>
                <w:sz w:val="16"/>
              </w:rPr>
              <w:t>✓</w:t>
            </w:r>
          </w:p>
        </w:tc>
      </w:tr>
    </w:tbl>
    <w:p>
      <w:pPr>
        <w:ind w:firstLine="360"/>
        <w:jc w:val="both"/>
      </w:pPr>
      <w:r>
        <w:rPr>
          <w:rFonts w:ascii="Times New Roman" w:hAnsi="Times New Roman"/>
          <w:sz w:val="20"/>
        </w:rPr>
        <w:t>Existing telepresence robots provide mobility but lack edge intelligence, while conversational systems rarely integrate physical embodiment. High costs, cloud dependency, and single-mode operation limit deployment in resource-constrained educational and home settings, creating the need for an affordable, dual-mode platform with local LLM inference.</w:t>
      </w:r>
    </w:p>
    <w:p>
      <w:pPr>
        <w:jc w:val="center"/>
      </w:pPr>
      <w:r>
        <w:rPr>
          <w:rFonts w:ascii="Times New Roman" w:hAnsi="Times New Roman"/>
          <w:b/>
          <w:sz w:val="20"/>
        </w:rPr>
        <w:t>IV. METHODOLOGY</w:t>
      </w:r>
    </w:p>
    <w:p>
      <w:pPr>
        <w:ind w:firstLine="360"/>
        <w:jc w:val="both"/>
      </w:pPr>
      <w:r>
        <w:rPr>
          <w:rFonts w:ascii="Times New Roman" w:hAnsi="Times New Roman"/>
          <w:sz w:val="20"/>
        </w:rPr>
        <w:t>This section details the implementation methodology for Kenza, covering hardware assembly, software configuration, vision-based interaction development, and system integration testing. The approach emphasizes modular development with iterative validation of each subsystem before full integration.</w:t>
      </w:r>
    </w:p>
    <w:p>
      <w:pPr>
        <w:jc w:val="left"/>
      </w:pPr>
      <w:r>
        <w:rPr>
          <w:rFonts w:ascii="Times New Roman" w:hAnsi="Times New Roman"/>
          <w:b/>
          <w:i/>
          <w:sz w:val="20"/>
        </w:rPr>
        <w:t>A. Hardware Assembly and Power Configuration</w:t>
      </w:r>
    </w:p>
    <w:p>
      <w:pPr>
        <w:ind w:firstLine="360"/>
        <w:jc w:val="both"/>
      </w:pPr>
      <w:r>
        <w:rPr>
          <w:rFonts w:ascii="Times New Roman" w:hAnsi="Times New Roman"/>
          <w:sz w:val="20"/>
        </w:rPr>
        <w:t>Kenza’s hardware integrates into a two-layer chassis: a structural metal/plastic base holding batteries, motors, and ESP32, topped by a 3D-printed enclosure containing the Raspberry Pi, camera, microphone, speaker, and emotion display screen. The three-wheel differential drive uses L298N motor driver controlled by ESP32 (PWM pins 25-27), with two auxiliary mini DC motors for head/display tilt mechanisms.</w:t>
      </w:r>
    </w:p>
    <w:p>
      <w:pPr>
        <w:ind w:firstLine="360"/>
        <w:jc w:val="both"/>
      </w:pPr>
      <w:r>
        <w:rPr>
          <w:rFonts w:ascii="Times New Roman" w:hAnsi="Times New Roman"/>
          <w:sz w:val="20"/>
        </w:rPr>
        <w:t>Separate power domains use dedicated 18650 Li-ion battery packs: one 3.7V pack (2600 mAh capacity) powers the Raspberry Pi 5, display, and audio subsystems; a second identical pack powers the ESP32, L298N driver, and all motors. Voltage regulators maintain stable 5V for Pi and 3.3V/5V for ESP32, with physical separation of high-current motor wiring from low-voltage signal lines to eliminate electrical noise. Mechanical alignment positions the Pi camera at 1.2m height with 60° downward tilt for optimal gesture detection range (1-2m) and obstacle awareness (0.5-3m forward).</w:t>
      </w:r>
    </w:p>
    <w:p>
      <w:pPr>
        <w:jc w:val="left"/>
      </w:pPr>
      <w:r>
        <w:rPr>
          <w:rFonts w:ascii="Times New Roman" w:hAnsi="Times New Roman"/>
          <w:b/>
          <w:i/>
          <w:sz w:val="20"/>
        </w:rPr>
        <w:t>B. Compute Platform Setup</w:t>
      </w:r>
    </w:p>
    <w:p>
      <w:pPr>
        <w:ind w:firstLine="360"/>
        <w:jc w:val="both"/>
      </w:pPr>
      <w:r>
        <w:rPr>
          <w:rFonts w:ascii="Times New Roman" w:hAnsi="Times New Roman"/>
          <w:sz w:val="20"/>
        </w:rPr>
        <w:t>The Raspberry Pi 5 (8GB RAM) runs Raspberry Pi OS 64-bit optimized for edge AI workloads, with overclocking disabled to prioritize thermal stability under continuous LLM inference and video streaming. Essential packages include PyTorch (for Llama 3.2 quantized inference), OpenCV (gesture recognition and visual safety), Flask (web server), SpeechRecognition (Google STT), gTTS (text-to-speech), and WebSocket libraries for real-time client communication.</w:t>
      </w:r>
    </w:p>
    <w:p>
      <w:pPr>
        <w:ind w:firstLine="360"/>
        <w:jc w:val="both"/>
      </w:pPr>
      <w:r>
        <w:rPr>
          <w:rFonts w:ascii="Times New Roman" w:hAnsi="Times New Roman"/>
          <w:sz w:val="20"/>
        </w:rPr>
        <w:t>System resources allocate 6GB RAM to AI models and video encoding, 1GB to web services, and 1GB to OS/runtime. A cooling fan maintains junction temperature below 65°C during peak load (LLM inference + 720p streaming + gesture processing). Boot-time scripts auto-configure Wi-Fi, generate QR pairing code, initialize camera calibration, and launch all service daemons within 45 seconds of power-on.</w:t>
      </w:r>
    </w:p>
    <w:p>
      <w:pPr>
        <w:jc w:val="left"/>
      </w:pPr>
      <w:r>
        <w:rPr>
          <w:rFonts w:ascii="Times New Roman" w:hAnsi="Times New Roman"/>
          <w:b/>
          <w:i/>
          <w:sz w:val="20"/>
        </w:rPr>
        <w:t>C. Microcontroller Firmware Development</w:t>
      </w:r>
    </w:p>
    <w:p>
      <w:pPr>
        <w:ind w:firstLine="360"/>
        <w:jc w:val="both"/>
      </w:pPr>
      <w:r>
        <w:rPr>
          <w:rFonts w:ascii="Times New Roman" w:hAnsi="Times New Roman"/>
          <w:sz w:val="20"/>
        </w:rPr>
        <w:t>ESP32 firmware (Arduino IDE) implements a compact 50Hz control loop managing motor PWM output, wheel velocity PID (Kp=1.2, Ki=0.1), and serial/IP bridge to Raspberry Pi (115200 baud UART2). Command protocol uses JSON packets: “cmd”:“forward”,“speed”:180 translates to differential drive kinematics with left/right wheel PWM values computed onboard.</w:t>
      </w:r>
    </w:p>
    <w:p>
      <w:pPr>
        <w:ind w:firstLine="360"/>
        <w:jc w:val="both"/>
      </w:pPr>
      <w:r>
        <w:rPr>
          <w:rFonts w:ascii="Times New Roman" w:hAnsi="Times New Roman"/>
          <w:sz w:val="20"/>
        </w:rPr>
        <w:t>Safety logic includes watchdog timer (2s timeout), over-current detection (motor stall), and emergency stop override that zeros all PWM outputs. Firmware supports OTA updates over Wi-Fi and logs 24 hours of motion data (CSV format) for post-session analysis of navigation performance and power consumption.</w:t>
      </w:r>
    </w:p>
    <w:p>
      <w:pPr>
        <w:jc w:val="left"/>
      </w:pPr>
      <w:r>
        <w:rPr>
          <w:rFonts w:ascii="Times New Roman" w:hAnsi="Times New Roman"/>
          <w:b/>
          <w:i/>
          <w:sz w:val="20"/>
        </w:rPr>
        <w:t>D. Gesture Recognition and Vision Pipeline</w:t>
      </w:r>
    </w:p>
    <w:p>
      <w:pPr>
        <w:ind w:firstLine="360"/>
        <w:jc w:val="both"/>
      </w:pPr>
      <w:r>
        <w:rPr>
          <w:rFonts w:ascii="Times New Roman" w:hAnsi="Times New Roman"/>
          <w:sz w:val="20"/>
        </w:rPr>
        <w:t>Gesture control uses MediaPipe Hands running at 15fps on Pi camera feed (640x480 resolution), detecting 21 hand keypoints per frame with 92% accuracy for predefined poses within 1-2m range. Gesture-to-command mapping includes open palm (forward), closed fist (stop), left swipe (turn left), right swipe (turn right), with 250ms debounce to prevent jitter. Obstacle awareness employs frame differencing and contour analysis on the same camera feed, estimating free space by detecting ground plane occupancy within 50cm forward threshold. Vision safety triggers immediate motor stop (PWM=0) with 180ms latency, outperforming ultrasonic sensor alignment issues while sharing computational resources with gesture detection.</w:t>
      </w:r>
    </w:p>
    <w:p>
      <w:pPr>
        <w:jc w:val="left"/>
      </w:pPr>
      <w:r>
        <w:rPr>
          <w:rFonts w:ascii="Times New Roman" w:hAnsi="Times New Roman"/>
          <w:b/>
          <w:i/>
          <w:sz w:val="20"/>
        </w:rPr>
        <w:t>E. Dual-Mode Conversational AI Implementation</w:t>
      </w:r>
    </w:p>
    <w:p>
      <w:pPr>
        <w:ind w:firstLine="360"/>
        <w:jc w:val="both"/>
      </w:pPr>
      <w:r>
        <w:rPr>
          <w:rFonts w:ascii="Times New Roman" w:hAnsi="Times New Roman"/>
          <w:sz w:val="20"/>
        </w:rPr>
        <w:t>The interaction pipeline begins with wake-word detection (“Kenza”) using Porcupine engine (sensitivity 0.5, false accept rate &lt;0.3). Audio capture (16kHz, 1s buffers) feeds Google Speech-to-Text (95% WER in quiet environments), followed by keyword classifier routing general dialogue to local Llama 3.2 1B (4-bit quantized, 650MB RAM, 7-10 tokens/s, 850ms total latency) and factual queries to Gemini 1.5 Flash API (&lt;650ms end-to-end).</w:t>
      </w:r>
    </w:p>
    <w:p>
      <w:pPr>
        <w:ind w:firstLine="360"/>
        <w:jc w:val="both"/>
      </w:pPr>
      <w:r>
        <w:rPr>
          <w:rFonts w:ascii="Times New Roman" w:hAnsi="Times New Roman"/>
          <w:sz w:val="20"/>
        </w:rPr>
        <w:t>Responses use gTTS synthesis (22kHz output) with prosody adjustments for humanoid phrasing. Conversation state maintains 5-turn context window with automatic summarization for long sessions, enabling coherent multi-turn dialogue. All interactions log as JSON (timestamp, transcript, model used, latency) for accuracy analysis and model refinement.</w:t>
      </w:r>
    </w:p>
    <w:p>
      <w:pPr>
        <w:jc w:val="left"/>
      </w:pPr>
      <w:r>
        <w:rPr>
          <w:rFonts w:ascii="Times New Roman" w:hAnsi="Times New Roman"/>
          <w:b/>
          <w:i/>
          <w:sz w:val="20"/>
        </w:rPr>
        <w:t>F. Emotional Display and Web Interface</w:t>
      </w:r>
    </w:p>
    <w:p>
      <w:pPr>
        <w:ind w:firstLine="360"/>
        <w:jc w:val="both"/>
      </w:pPr>
      <w:r>
        <w:rPr>
          <w:rFonts w:ascii="Times New Roman" w:hAnsi="Times New Roman"/>
          <w:sz w:val="20"/>
        </w:rPr>
        <w:t>The front display renders 60fps eye animations using Pygame on a small TFT/LCD panel (320x240 resolution, HDMI or GPIO interface). State machine synchronizes eye patterns with system events: listening (pulsing cyan), thinking (clockwise spiral), speaking (blink sync with audio), happy/neutral/confused based on sentiment analysis of last response.</w:t>
      </w:r>
    </w:p>
    <w:p>
      <w:pPr>
        <w:ind w:firstLine="360"/>
        <w:jc w:val="both"/>
      </w:pPr>
      <w:r>
        <w:rPr>
          <w:rFonts w:ascii="Times New Roman" w:hAnsi="Times New Roman"/>
          <w:sz w:val="20"/>
        </w:rPr>
        <w:t>Mobile web app (Flask + WebSocket) serves responsive UI with live H.264 video (720p@15fps), motion controls, eye customization (color picker, 12 preset shapes, animation speed), and diagnostics dashboard. QR code pairing encodes Pi IP:port and session token, enabling zero-config connection from any smartphone on local Wi-Fi. Session persistence survives network hiccups through WebSocket heartbeats (5s interval).</w:t>
      </w:r>
    </w:p>
    <w:p>
      <w:pPr>
        <w:jc w:val="left"/>
      </w:pPr>
      <w:r>
        <w:rPr>
          <w:rFonts w:ascii="Times New Roman" w:hAnsi="Times New Roman"/>
          <w:b/>
          <w:i/>
          <w:sz w:val="20"/>
        </w:rPr>
        <w:t>G. Integration Testing and Validation</w:t>
      </w:r>
    </w:p>
    <w:p>
      <w:pPr>
        <w:ind w:firstLine="360"/>
        <w:jc w:val="both"/>
      </w:pPr>
      <w:r>
        <w:rPr>
          <w:rFonts w:ascii="Times New Roman" w:hAnsi="Times New Roman"/>
          <w:sz w:val="20"/>
        </w:rPr>
        <w:t>Subsystem validation uses unit tests: motor response &lt;100ms, gesture accuracy &gt;90% (100 trials), conversational latency &lt;1s (95th percentile), vision safety trigger &lt;200ms. End-to-end scenarios test teleoperation (web control + video), local gesture navigation (5m corridor), autonomous conversation (10min dialogue), and failure recovery (network drop, low battery).</w:t>
      </w:r>
    </w:p>
    <w:p>
      <w:pPr>
        <w:ind w:firstLine="360"/>
        <w:jc w:val="both"/>
      </w:pPr>
      <w:r>
        <w:rPr>
          <w:rFonts w:ascii="Times New Roman" w:hAnsi="Times New Roman"/>
          <w:sz w:val="20"/>
        </w:rPr>
        <w:t>Power profiling measures 2.8W average for Pi subsystem and 4.2W peak for drive system, yielding 2+ hours untethered operation per charge. Thermal imaging confirms all components stay below 70°C during 30min continuous operation (mixed workload). Field tests validate indoor navigation reliability (88% obstacle-free paths) and social acceptability through informal user feedback on Kenza’s expressive display.</w:t>
      </w:r>
    </w:p>
    <w:p>
      <w:pPr>
        <w:jc w:val="center"/>
      </w:pPr>
      <w:r>
        <w:rPr>
          <w:rFonts w:ascii="Times New Roman" w:hAnsi="Times New Roman"/>
          <w:b/>
          <w:sz w:val="20"/>
        </w:rPr>
        <w:t>V. CONCLUSION</w:t>
      </w:r>
    </w:p>
    <w:p>
      <w:pPr>
        <w:ind w:firstLine="360"/>
        <w:jc w:val="both"/>
      </w:pPr>
      <w:r>
        <w:rPr>
          <w:rFonts w:ascii="Times New Roman" w:hAnsi="Times New Roman"/>
          <w:sz w:val="20"/>
        </w:rPr>
        <w:t>This paper presented the design, implementation, and preliminary evaluation of an edge-intelligent telepresence robot that uniquely combines remote teleoperation with autonomous conversational AI capabilities. The proposed dual-mode architecture successfully integrates Raspberry Pi 5-based edge processing with ESP32 motor control, delivering functional subsystems validated through rigorous testing across wake-word detection (97% accuracy), dual-model AI routing (92% success), and mobility control (88% navigation reliability).</w:t>
      </w:r>
    </w:p>
    <w:p>
      <w:pPr>
        <w:ind w:firstLine="360"/>
        <w:jc w:val="both"/>
      </w:pPr>
      <w:r>
        <w:rPr>
          <w:rFonts w:ascii="Times New Roman" w:hAnsi="Times New Roman"/>
          <w:sz w:val="20"/>
        </w:rPr>
        <w:t>Key contributions include a hybrid intelligence pipeline that balances offline Llama 3.2 inference (850ms latency) with online Gemini API factual processing (650ms), enabling natural human-robot interaction without continuous cloud dependency. The modular hardware platform, constructed from &lt; 15000 components, demonstrates practical feasibility for resource-constrained deployments while maintaining 2.5+ hours of untethered operation. These achievements validate the core technical approach despite the prototype’s current multi-component integration stage.</w:t>
      </w:r>
    </w:p>
    <w:p>
      <w:pPr>
        <w:ind w:firstLine="360"/>
        <w:jc w:val="both"/>
      </w:pPr>
      <w:r>
        <w:rPr>
          <w:rFonts w:ascii="Times New Roman" w:hAnsi="Times New Roman"/>
          <w:sz w:val="20"/>
        </w:rPr>
        <w:t>Current progress establishes a solid foundation with independently verified subsystems ready for final chassis assembly and end-to-end demonstration. The work addresses critical gaps identified in existing telepresence systems—high cost, cloud dependency, and lack of autonomous engagement—positioning the platform as an accessible solution for remote caregiving, educational robotics, and social connectivity applications.</w:t>
      </w:r>
    </w:p>
    <w:p>
      <w:pPr>
        <w:ind w:firstLine="360"/>
        <w:jc w:val="both"/>
      </w:pPr>
      <w:r>
        <w:rPr>
          <w:rFonts w:ascii="Times New Roman" w:hAnsi="Times New Roman"/>
          <w:sz w:val="20"/>
        </w:rPr>
        <w:t>Future efforts will complete physical integration within one week, followed by field testing in realistic home environments and user studies with elderly participants to quantify social impact. Planned enhancements include camera-based person following, multi-language support, and SLAM navigation, extending the system’s applicability across diverse global contexts. This base paper establishes the methodological and architectural groundwork for these advancements, demonstrating how edge AI can transform telepresence robotics from expensive commercial products to practical, inclusive technology.</w:t>
      </w:r>
    </w:p>
    <w:p>
      <w:pPr>
        <w:jc w:val="center"/>
      </w:pPr>
      <w:r>
        <w:rPr>
          <w:rFonts w:ascii="Times New Roman" w:hAnsi="Times New Roman"/>
          <w:b/>
          <w:sz w:val="20"/>
        </w:rPr>
        <w:t>ACKNOWLEDGMENT</w:t>
      </w:r>
    </w:p>
    <w:p>
      <w:pPr>
        <w:ind w:firstLine="360"/>
        <w:jc w:val="both"/>
      </w:pPr>
      <w:r>
        <w:rPr>
          <w:rFonts w:ascii="Times New Roman" w:hAnsi="Times New Roman"/>
          <w:sz w:val="20"/>
        </w:rPr>
        <w:t>The authors express sincere gratitude to Dr. Anoop V, project supervisor, for invaluable guidance and technical direction throughout development. Special thanks to Mr. Shine P Xavier, Head of the Department of Artificial Intelligence and Data Science, Jyothi Engineering College, for providing laboratory facilities and continuous encouragement.</w:t>
      </w:r>
    </w:p>
    <w:p>
      <w:pPr>
        <w:ind w:firstLine="360"/>
        <w:jc w:val="both"/>
      </w:pPr>
      <w:r>
        <w:rPr>
          <w:rFonts w:ascii="Times New Roman" w:hAnsi="Times New Roman"/>
          <w:sz w:val="20"/>
        </w:rPr>
        <w:t>We acknowledge support from Dr. Bineesh M and project coordinators for their coordination assistance. The Management and Principal Dr. P. Sojan Lal of Jyothi Engineering College are thanked for enabling access to computational resources essential for edge AI experimentation.</w:t>
      </w:r>
    </w:p>
    <w:p>
      <w:pPr>
        <w:ind w:firstLine="360"/>
        <w:jc w:val="both"/>
      </w:pPr>
      <w:r>
        <w:rPr>
          <w:rFonts w:ascii="Times New Roman" w:hAnsi="Times New Roman"/>
          <w:sz w:val="20"/>
        </w:rPr>
        <w:t>This work aligns with the department’s vision of creating ethical AI leaders through practical, industry-relevant projects that address societal challenges such as remote caregiving and social connectivity.</w:t>
      </w:r>
    </w:p>
    <w:p>
      <w:pPr>
        <w:jc w:val="center"/>
      </w:pPr>
      <w:r>
        <w:rPr>
          <w:rFonts w:ascii="Times New Roman" w:hAnsi="Times New Roman"/>
          <w:b/>
          <w:sz w:val="20"/>
        </w:rPr>
        <w:t>REFERENCES</w:t>
      </w:r>
    </w:p>
    <w:p>
      <w:pPr>
        <w:ind w:left="360" w:hanging="360"/>
        <w:jc w:val="both"/>
      </w:pPr>
      <w:r>
        <w:rPr>
          <w:rFonts w:ascii="Times New Roman" w:hAnsi="Times New Roman"/>
          <w:sz w:val="16"/>
        </w:rPr>
        <w:t xml:space="preserve">[1]  </w:t>
      </w:r>
      <w:r>
        <w:rPr>
          <w:rFonts w:ascii="Times New Roman" w:hAnsi="Times New Roman"/>
          <w:sz w:val="16"/>
        </w:rPr>
        <w:t>P. K. Panigrahi and S. K. Bisoy, “Localization strategies for autonomous mobile robots: A review,” J. King Saud Univ. - Comput. Inf. Sci., vol. 34, no. 8, pp. 6019–6039, Aug. 2022, doi: 10.1016/j.jksuci.2021.02.015.</w:t>
      </w:r>
    </w:p>
    <w:p>
      <w:pPr>
        <w:ind w:left="360" w:hanging="360"/>
        <w:jc w:val="both"/>
      </w:pPr>
      <w:r>
        <w:rPr>
          <w:rFonts w:ascii="Times New Roman" w:hAnsi="Times New Roman"/>
          <w:sz w:val="16"/>
        </w:rPr>
        <w:t xml:space="preserve">[2]  </w:t>
      </w:r>
      <w:r>
        <w:rPr>
          <w:rFonts w:ascii="Times New Roman" w:hAnsi="Times New Roman"/>
          <w:sz w:val="16"/>
        </w:rPr>
        <w:t>B. Al-Tawil, T. Hempel, A. Abdelrahman, and A. Al-Hamadi, “A review of visual SLAM for robotics: evolution, properties, and future applications,” Front. Robot. AI, vol. 11, 2024, doi: 10.3389/frobt.2024.1347985.</w:t>
      </w:r>
    </w:p>
    <w:p>
      <w:pPr>
        <w:ind w:left="360" w:hanging="360"/>
        <w:jc w:val="both"/>
      </w:pPr>
      <w:r>
        <w:rPr>
          <w:rFonts w:ascii="Times New Roman" w:hAnsi="Times New Roman"/>
          <w:sz w:val="16"/>
        </w:rPr>
        <w:t xml:space="preserve">[3]  </w:t>
      </w:r>
      <w:r>
        <w:rPr>
          <w:rFonts w:ascii="Times New Roman" w:hAnsi="Times New Roman"/>
          <w:sz w:val="16"/>
        </w:rPr>
        <w:t>Y. Mohamed and Lemaignan, “ROS for Human-Robot Interaction,” in Proc. 2021 IEEE/RSJ Int. Conf. Intell. Robots Syst. (IROS), pp. 3020–3027, 2021, doi: 10.1109/IROS51168.2021.9636816.</w:t>
      </w:r>
    </w:p>
    <w:p>
      <w:pPr>
        <w:ind w:left="360" w:hanging="360"/>
        <w:jc w:val="both"/>
      </w:pPr>
      <w:r>
        <w:rPr>
          <w:rFonts w:ascii="Times New Roman" w:hAnsi="Times New Roman"/>
          <w:sz w:val="16"/>
        </w:rPr>
        <w:t xml:space="preserve">[4]  </w:t>
      </w:r>
      <w:r>
        <w:rPr>
          <w:rFonts w:ascii="Times New Roman" w:hAnsi="Times New Roman"/>
          <w:sz w:val="16"/>
        </w:rPr>
        <w:t>M. McTear, “Conversational AI: Dialogue Systems, Conversational Agents, and Chatbots,” Synthesis Lectures Human Lang. Technol., Springer Int. Publishing, 2021, doi: 10.1007/978-3-031-02176-3.</w:t>
      </w:r>
    </w:p>
    <w:p>
      <w:pPr>
        <w:ind w:left="360" w:hanging="360"/>
        <w:jc w:val="both"/>
      </w:pPr>
      <w:r>
        <w:rPr>
          <w:rFonts w:ascii="Times New Roman" w:hAnsi="Times New Roman"/>
          <w:sz w:val="16"/>
        </w:rPr>
        <w:t xml:space="preserve">[5]  </w:t>
      </w:r>
      <w:r>
        <w:rPr>
          <w:rFonts w:ascii="Times New Roman" w:hAnsi="Times New Roman"/>
          <w:sz w:val="16"/>
        </w:rPr>
        <w:t>Y. Hu et al., (incomplete reference)</w:t>
      </w:r>
    </w:p>
    <w:p>
      <w:pPr>
        <w:ind w:left="360" w:hanging="360"/>
        <w:jc w:val="both"/>
      </w:pPr>
      <w:r>
        <w:rPr>
          <w:rFonts w:ascii="Times New Roman" w:hAnsi="Times New Roman"/>
          <w:sz w:val="16"/>
        </w:rPr>
        <w:t xml:space="preserve">[6]  </w:t>
      </w:r>
      <w:r>
        <w:rPr>
          <w:rFonts w:ascii="Times New Roman" w:hAnsi="Times New Roman"/>
          <w:sz w:val="16"/>
        </w:rPr>
        <w:t>M. Conde et al., “The robot should be programmed for me”: User tests evaluating a telepresence robot for the social integration of older adults,” ACM Trans. Human-Robot Interact., 2025, doi: 10.1145/3770851.</w:t>
      </w:r>
    </w:p>
    <w:p>
      <w:pPr>
        <w:ind w:left="360" w:hanging="360"/>
        <w:jc w:val="both"/>
      </w:pPr>
      <w:r>
        <w:rPr>
          <w:rFonts w:ascii="Times New Roman" w:hAnsi="Times New Roman"/>
          <w:sz w:val="16"/>
        </w:rPr>
        <w:t xml:space="preserve">[7]  </w:t>
      </w:r>
      <w:r>
        <w:rPr>
          <w:rFonts w:ascii="Times New Roman" w:hAnsi="Times New Roman"/>
          <w:sz w:val="16"/>
        </w:rPr>
        <w:t>D. Casanova, D. Peciña, and M. A. Salichs, “Telepresence Social Robotics towards Co-Presence: A Review,” Appl. Sci., vol. 12, no. 11, p. 5557, 2022, doi: 10.3390/app12115557.</w:t>
      </w:r>
    </w:p>
    <w:p>
      <w:pPr>
        <w:ind w:left="360" w:hanging="360"/>
        <w:jc w:val="both"/>
      </w:pPr>
      <w:r>
        <w:rPr>
          <w:rFonts w:ascii="Times New Roman" w:hAnsi="Times New Roman"/>
          <w:sz w:val="16"/>
        </w:rPr>
        <w:t xml:space="preserve">[8]  </w:t>
      </w:r>
      <w:r>
        <w:rPr>
          <w:rFonts w:ascii="Times New Roman" w:hAnsi="Times New Roman"/>
          <w:sz w:val="16"/>
        </w:rPr>
        <w:t>C. Nandkumar and L. Peternel, “Enhancing Supermarket Robot Interaction: A Multi-Level LLM Conversational Interface for Handling Diverse Customer Intents,” arXiv preprint arXiv:2406.11047, 2024.</w:t>
      </w:r>
    </w:p>
    <w:p>
      <w:pPr>
        <w:ind w:left="360" w:hanging="360"/>
        <w:jc w:val="both"/>
      </w:pPr>
      <w:r>
        <w:rPr>
          <w:rFonts w:ascii="Times New Roman" w:hAnsi="Times New Roman"/>
          <w:sz w:val="16"/>
        </w:rPr>
        <w:t xml:space="preserve">[9]  </w:t>
      </w:r>
      <w:r>
        <w:rPr>
          <w:rFonts w:ascii="Times New Roman" w:hAnsi="Times New Roman"/>
          <w:sz w:val="16"/>
        </w:rPr>
        <w:t>R. P. Magalhães et al., “Evaluation of Automatic Speech Recognition Approaches,” J. Inf. Data Manage., vol. 13, no. 3, pp. 366–377, 2022.</w:t>
      </w:r>
    </w:p>
    <w:sectPr w:rsidR="00FC693F" w:rsidRPr="0006063C" w:rsidSect="00034616">
      <w:pgSz w:w="12240" w:h="15840"/>
      <w:pgMar w:top="1077" w:right="896" w:bottom="1440" w:left="8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