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082D" w:rsidRDefault="00000000">
      <w:pPr>
        <w:spacing w:before="1440" w:after="120"/>
      </w:pPr>
      <w:bookmarkStart w:id="0" w:name="OLE_LINK5"/>
      <w:bookmarkStart w:id="1" w:name="OLE_LINK6"/>
      <w:bookmarkStart w:id="2" w:name="OLE_LINK9"/>
      <w:r>
        <w:rPr>
          <w:b/>
          <w:bCs/>
          <w:color w:val="6B7FA3"/>
          <w:sz w:val="20"/>
          <w:szCs w:val="20"/>
        </w:rPr>
        <w:t>PRODUCT REQUIREMENTS DOCUMENT</w:t>
      </w:r>
    </w:p>
    <w:p w:rsidR="000C082D" w:rsidRDefault="00000000">
      <w:pPr>
        <w:spacing w:after="200"/>
      </w:pPr>
      <w:r>
        <w:rPr>
          <w:b/>
          <w:bCs/>
          <w:color w:val="1B3A6B"/>
          <w:sz w:val="56"/>
          <w:szCs w:val="56"/>
        </w:rPr>
        <w:t>Biomarker Stratification Engine</w:t>
      </w:r>
    </w:p>
    <w:p w:rsidR="000C082D" w:rsidRDefault="00000000">
      <w:pPr>
        <w:spacing w:after="600"/>
      </w:pPr>
      <w:r>
        <w:rPr>
          <w:i/>
          <w:iCs/>
          <w:color w:val="2E5FAC"/>
          <w:sz w:val="28"/>
          <w:szCs w:val="28"/>
        </w:rPr>
        <w:t>Real-Time AI-Powered Patient Subgroup Discovery for Pharma R&amp;D</w:t>
      </w:r>
    </w:p>
    <w:p w:rsidR="000C082D" w:rsidRDefault="000C082D">
      <w:pPr>
        <w:pBdr>
          <w:bottom w:val="single" w:sz="4" w:space="1" w:color="3B5998"/>
        </w:pBdr>
        <w:spacing w:before="100" w:after="100"/>
      </w:pPr>
    </w:p>
    <w:p w:rsidR="000C082D" w:rsidRDefault="000C08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C082D">
        <w:tc>
          <w:tcPr>
            <w:tcW w:w="30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C082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Product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Biomarker Stratification Engine (BSE)</w:t>
            </w:r>
          </w:p>
        </w:tc>
      </w:tr>
      <w:tr w:rsidR="000C082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1.0 — Initial PRD</w:t>
            </w:r>
          </w:p>
        </w:tc>
      </w:tr>
      <w:tr w:rsidR="000C082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March 2026</w:t>
            </w:r>
          </w:p>
        </w:tc>
      </w:tr>
      <w:tr w:rsidR="000C082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Draft — For Review</w:t>
            </w:r>
          </w:p>
        </w:tc>
      </w:tr>
      <w:tr w:rsidR="000C082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Primary Author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Product Team</w:t>
            </w:r>
          </w:p>
        </w:tc>
      </w:tr>
      <w:tr w:rsidR="000C082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Target Segment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Pharma R&amp;D — Translational Medicine &amp; Clinical Biomarker Teams</w:t>
            </w:r>
          </w:p>
        </w:tc>
      </w:tr>
    </w:tbl>
    <w:p w:rsidR="000C082D" w:rsidRDefault="000C082D">
      <w:pPr>
        <w:spacing w:before="60" w:after="60"/>
      </w:pPr>
    </w:p>
    <w:p w:rsidR="000C082D" w:rsidRDefault="00000000">
      <w:r>
        <w:br w:type="page"/>
      </w:r>
    </w:p>
    <w:p w:rsidR="000C082D" w:rsidRDefault="00000000">
      <w:pPr>
        <w:pStyle w:val="Heading1"/>
      </w:pPr>
      <w:r>
        <w:lastRenderedPageBreak/>
        <w:t>1. Executive Summary</w:t>
      </w:r>
    </w:p>
    <w:p w:rsidR="000C082D" w:rsidRDefault="00000000">
      <w:pPr>
        <w:spacing w:before="80" w:after="80"/>
      </w:pPr>
      <w:r>
        <w:t>The Biomarker Stratification Engine (BSE) is a real-time AI platform that monitors incoming multi-modal biological and clinical data during pharma trials to detect patient subpopulation signals — identifying who responds to a drug, who doesn't, and why — before a trial concludes.</w:t>
      </w:r>
    </w:p>
    <w:p w:rsidR="000C082D" w:rsidRDefault="000C082D">
      <w:pPr>
        <w:spacing w:before="60" w:after="60"/>
      </w:pPr>
    </w:p>
    <w:p w:rsidR="000C082D" w:rsidRDefault="00000000">
      <w:pPr>
        <w:spacing w:before="80" w:after="80"/>
      </w:pPr>
      <w:r>
        <w:t>Clinical trials fail at staggering rates. A significant portion of these failures are not true failures: the drug works, just not for everyone. Post-hoc subgroup discovery is too late, too manual, and distrusted by regulators. BSE shifts this from a post-mortem activity to a continuous, prospective intelligence layer.</w:t>
      </w:r>
    </w:p>
    <w:p w:rsidR="000C082D" w:rsidRDefault="000C08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0C082D">
        <w:tc>
          <w:tcPr>
            <w:tcW w:w="28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28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328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With BSE</w:t>
            </w:r>
          </w:p>
        </w:tc>
      </w:tr>
      <w:tr w:rsidR="000C082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Stratification Timing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Post-trial (retrospective)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Real-time, during trial</w:t>
            </w:r>
          </w:p>
        </w:tc>
      </w:tr>
      <w:tr w:rsidR="000C082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Methodology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Manual statistical analysis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Continuous AI monitoring</w:t>
            </w:r>
          </w:p>
        </w:tc>
      </w:tr>
      <w:tr w:rsidR="000C082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Data Scope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Single biomarker at a time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Multi-modal, multi-variate</w:t>
            </w:r>
          </w:p>
        </w:tc>
      </w:tr>
      <w:tr w:rsidR="000C082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Regulatory Readiness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Ad hoc documentation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Auto-generated submission exports</w:t>
            </w:r>
          </w:p>
        </w:tc>
      </w:tr>
      <w:tr w:rsidR="000C082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Time to Insight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Weeks to months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Weekly signal digest</w:t>
            </w:r>
          </w:p>
        </w:tc>
      </w:tr>
    </w:tbl>
    <w:p w:rsidR="000C082D" w:rsidRDefault="000C082D">
      <w:pPr>
        <w:spacing w:before="60" w:after="60"/>
      </w:pPr>
    </w:p>
    <w:p w:rsidR="000C082D" w:rsidRDefault="00000000">
      <w:pPr>
        <w:pStyle w:val="Heading1"/>
      </w:pPr>
      <w:r>
        <w:t>2. Problem Statement</w:t>
      </w:r>
    </w:p>
    <w:p w:rsidR="000C082D" w:rsidRDefault="00000000">
      <w:pPr>
        <w:pStyle w:val="Heading2"/>
      </w:pPr>
      <w:r>
        <w:t>2.1 The Core Failure Mode</w:t>
      </w:r>
    </w:p>
    <w:p w:rsidR="000C082D" w:rsidRDefault="00000000">
      <w:pPr>
        <w:spacing w:before="80" w:after="80"/>
      </w:pPr>
      <w:r>
        <w:t xml:space="preserve">A Phase III oncology trial </w:t>
      </w:r>
      <w:proofErr w:type="spellStart"/>
      <w:r>
        <w:t>enrolls</w:t>
      </w:r>
      <w:proofErr w:type="spellEnd"/>
      <w:r>
        <w:t xml:space="preserve"> 400 patients. The primary endpoint misses statistical significance. The trial is declared a failure. The drug is shelved. Six months later, a post-hoc analysis reveals that patients with high IL-6 expression at baseline showed 60% response rates — the drug worked powerfully for a third of the cohort.</w:t>
      </w:r>
    </w:p>
    <w:p w:rsidR="000C082D" w:rsidRDefault="000C082D">
      <w:pPr>
        <w:spacing w:before="60" w:after="60"/>
      </w:pPr>
    </w:p>
    <w:p w:rsidR="000C082D" w:rsidRDefault="00000000">
      <w:pPr>
        <w:spacing w:before="80" w:after="80"/>
      </w:pPr>
      <w:r>
        <w:t>This is not a hypothetical. It describes the fate of dozens of drugs that have been abandoned, only for their mechanism to be validated years later by a competitor who found the right biomarker first.</w:t>
      </w:r>
    </w:p>
    <w:p w:rsidR="000C082D" w:rsidRDefault="00000000">
      <w:pPr>
        <w:pStyle w:val="Heading2"/>
      </w:pPr>
      <w:r>
        <w:t>2.2 Why Existing Solutions Fail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Standard statistical analysis treats biomarkers as independent variables — missing combination effects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Subgroup analyses are pre-specified in trial protocols, limiting exploration of unexpected signals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Lab data, clinical data, and genomic data live in separate systems — nobody sees the full picture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Biostatisticians are a bottleneck — scarce, expensive, and reviewing data periodically not continuously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Post-hoc analyses are viewed with regulatory suspicion, reducing their value even when correct</w:t>
      </w:r>
    </w:p>
    <w:p w:rsidR="000C082D" w:rsidRDefault="00000000">
      <w:pPr>
        <w:pStyle w:val="Heading2"/>
      </w:pPr>
      <w:r>
        <w:t>2.3 Cost of the Problem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Average Phase III trial cost: $300M–$800M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~50% of Phase III trials fail on primary endpoints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Estimated 30–40% of those failures contain hidden responder subpopulations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Companion diagnostic market: $7B and growing — entirely dependent on early biomarker identification</w:t>
      </w:r>
    </w:p>
    <w:p w:rsidR="000C082D" w:rsidRDefault="000C082D">
      <w:pPr>
        <w:spacing w:before="60" w:after="60"/>
      </w:pPr>
    </w:p>
    <w:p w:rsidR="000C082D" w:rsidRDefault="00000000">
      <w:pPr>
        <w:pStyle w:val="Heading1"/>
      </w:pPr>
      <w:r>
        <w:t>3. Product Vision &amp; Strategy</w:t>
      </w:r>
    </w:p>
    <w:p w:rsidR="000C082D" w:rsidRDefault="00000000">
      <w:pPr>
        <w:pStyle w:val="Heading2"/>
      </w:pPr>
      <w:r>
        <w:t>3.1 Vision</w:t>
      </w:r>
    </w:p>
    <w:p w:rsidR="000C082D" w:rsidRDefault="00000000">
      <w:pPr>
        <w:spacing w:before="120" w:after="120"/>
      </w:pPr>
      <w:r>
        <w:rPr>
          <w:i/>
          <w:iCs/>
          <w:color w:val="1B3A6B"/>
          <w:sz w:val="24"/>
          <w:szCs w:val="24"/>
        </w:rPr>
        <w:t>"Make every failed trial a learning — and most near-failures a rescue."</w:t>
      </w:r>
    </w:p>
    <w:p w:rsidR="000C082D" w:rsidRDefault="00000000">
      <w:pPr>
        <w:pStyle w:val="Heading2"/>
      </w:pPr>
      <w:r>
        <w:t>3.2 Strategic Position</w:t>
      </w:r>
    </w:p>
    <w:p w:rsidR="000C082D" w:rsidRDefault="00000000">
      <w:pPr>
        <w:spacing w:before="80" w:after="80"/>
      </w:pPr>
      <w:r>
        <w:t>BSE is not a data warehouse, a LIMS replacement, or a statistical analysis tool. It is a continuous signal intelligence layer that sits above existing infrastructure — ingesting, harmonizing, and interpreting data as it arrives throughout a trial lifecycle.</w:t>
      </w:r>
    </w:p>
    <w:p w:rsidR="000C082D" w:rsidRDefault="000C082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0C082D">
        <w:tc>
          <w:tcPr>
            <w:tcW w:w="22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</w:p>
        </w:tc>
        <w:tc>
          <w:tcPr>
            <w:tcW w:w="26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5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BSE Gap They Leave</w:t>
            </w:r>
          </w:p>
        </w:tc>
      </w:tr>
      <w:tr w:rsidR="000C082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Tempus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Genomic data + AI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Clinical data integration; prospective trial monitoring</w:t>
            </w:r>
          </w:p>
        </w:tc>
      </w:tr>
      <w:tr w:rsidR="000C082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Flatiron Health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Real-world evidence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Retrospective only; not trial-native</w:t>
            </w:r>
          </w:p>
        </w:tc>
      </w:tr>
      <w:tr w:rsidR="000C082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Medidata (Dassault)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Clinical trial ops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Operational focus; no biomarker intelligence</w:t>
            </w:r>
          </w:p>
        </w:tc>
      </w:tr>
      <w:tr w:rsidR="000C082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Certara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 xml:space="preserve">PK/PD </w:t>
            </w:r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Narrow scope; not multi-modal</w:t>
            </w:r>
          </w:p>
        </w:tc>
      </w:tr>
      <w:tr w:rsidR="000C082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Foundation Medicine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Genomic profiling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Diagnostic output; no stratification engine</w:t>
            </w:r>
          </w:p>
        </w:tc>
      </w:tr>
    </w:tbl>
    <w:p w:rsidR="000C082D" w:rsidRDefault="000C082D">
      <w:pPr>
        <w:spacing w:before="60" w:after="60"/>
      </w:pPr>
    </w:p>
    <w:p w:rsidR="000C082D" w:rsidRDefault="00000000">
      <w:pPr>
        <w:spacing w:before="80" w:after="80"/>
      </w:pPr>
      <w:r>
        <w:t>No existing player offers real-time, multi-modal, prospective biomarker stratification as a dedicated clinical trial intelligence product. That is the white space BSE occupies.</w:t>
      </w:r>
    </w:p>
    <w:p w:rsidR="000C082D" w:rsidRDefault="000C082D">
      <w:pPr>
        <w:spacing w:before="60" w:after="60"/>
      </w:pPr>
    </w:p>
    <w:p w:rsidR="000C082D" w:rsidRDefault="00000000">
      <w:pPr>
        <w:pStyle w:val="Heading1"/>
      </w:pPr>
      <w:r>
        <w:t>4. Target Users &amp; Personas</w:t>
      </w:r>
    </w:p>
    <w:p w:rsidR="000C082D" w:rsidRDefault="00000000">
      <w:pPr>
        <w:pStyle w:val="Heading2"/>
      </w:pPr>
      <w:r>
        <w:t>4.1 Primary Users</w:t>
      </w:r>
    </w:p>
    <w:p w:rsidR="000C082D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Persona 1: The Translational Scientist (Champion User)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PhD-level researcher bridging bench science and clinical development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Owns the biomarker strategy for one or more trials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Deeply understands biology; less comfortable with large-scale data analysis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Frustrated by: waiting for biostatistician bandwidth; data locked in platform silos; lack of real-time visibility into trial biology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Success metric: identifies a credible responder hypothesis before Week 16 of a Phase II trial</w:t>
      </w:r>
    </w:p>
    <w:p w:rsidR="000C082D" w:rsidRDefault="000C082D">
      <w:pPr>
        <w:spacing w:before="60" w:after="60"/>
      </w:pPr>
    </w:p>
    <w:p w:rsidR="000C082D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Persona 2: The Clinical Biomarker Lead (Decision Influencer)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Senior scientist or director overseeing biomarker programs across a drug portfolio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Reports to VP of Translational Medicine or CMO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Cares about: scientific rigor, regulatory defensibility, portfolio-level signal trends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Success metric: reduces time to companion diagnostic hypothesis from 18 months to 6 months</w:t>
      </w:r>
    </w:p>
    <w:p w:rsidR="000C082D" w:rsidRDefault="000C082D">
      <w:pPr>
        <w:spacing w:before="60" w:after="60"/>
      </w:pPr>
    </w:p>
    <w:p w:rsidR="000C082D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Persona 3: The Head of Translational Medicine (Economic Buyer)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VP or SVP-level; owns trial success outcomes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Budget authority for tools and platforms in translational/clinical biomarker space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Cares about: trial rescue, R&amp;D ROI, pipeline de-risking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Success metric: at least one trial program salvaged or meaningfully redirected per year using BSE insights</w:t>
      </w:r>
    </w:p>
    <w:p w:rsidR="000C082D" w:rsidRDefault="000C082D">
      <w:pPr>
        <w:spacing w:before="60" w:after="60"/>
      </w:pPr>
    </w:p>
    <w:p w:rsidR="000C082D" w:rsidRDefault="00000000">
      <w:pPr>
        <w:pStyle w:val="Heading2"/>
      </w:pPr>
      <w:r>
        <w:t>4.2 Non-Users (Out of Scope for V1)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Regulatory affairs — will consume BSE exports but not primary users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IT / data engineering — will integrate the platform but not daily users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Clinicians and patients — downstream beneficiaries, not direct users</w:t>
      </w:r>
    </w:p>
    <w:p w:rsidR="000C082D" w:rsidRDefault="000C082D">
      <w:pPr>
        <w:spacing w:before="60" w:after="60"/>
      </w:pPr>
    </w:p>
    <w:p w:rsidR="000C082D" w:rsidRDefault="00000000">
      <w:pPr>
        <w:pStyle w:val="Heading1"/>
      </w:pPr>
      <w:r>
        <w:t>5. Core Use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2400"/>
        <w:gridCol w:w="3160"/>
      </w:tblGrid>
      <w:tr w:rsidR="000C082D">
        <w:tc>
          <w:tcPr>
            <w:tcW w:w="6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4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31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0C082D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UC-01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Monitor trial for emerging responder signals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Translational Scientist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New patient data batch ingested</w:t>
            </w:r>
          </w:p>
        </w:tc>
      </w:tr>
      <w:tr w:rsidR="000C082D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UC-02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Investigate a flagged biomarker signal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Translational Scientist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Signal alert received in weekly digest</w:t>
            </w:r>
          </w:p>
        </w:tc>
      </w:tr>
      <w:tr w:rsidR="000C082D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UC-03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Define and test a subgroup hypothesis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Biomarker Lead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Informal hypothesis from team meeting</w:t>
            </w:r>
          </w:p>
        </w:tc>
      </w:tr>
      <w:tr w:rsidR="000C082D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UC-04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Compare subgroup survival curves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Biomarker Lead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Signal elevated to moderate confidence</w:t>
            </w:r>
          </w:p>
        </w:tc>
      </w:tr>
      <w:tr w:rsidR="000C082D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lastRenderedPageBreak/>
              <w:t>UC-05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Export subgroup analysis for regulatory submission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 xml:space="preserve">Biomarker Lead / </w:t>
            </w:r>
            <w:proofErr w:type="spellStart"/>
            <w:r>
              <w:rPr>
                <w:sz w:val="20"/>
                <w:szCs w:val="20"/>
              </w:rPr>
              <w:t>RegAffairs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Trial concluding or IND amendment</w:t>
            </w:r>
          </w:p>
        </w:tc>
      </w:tr>
      <w:tr w:rsidR="000C082D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UC-06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Review portfolio-level biomarker patterns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 xml:space="preserve">Head of </w:t>
            </w:r>
            <w:proofErr w:type="spellStart"/>
            <w:r>
              <w:rPr>
                <w:sz w:val="20"/>
                <w:szCs w:val="20"/>
              </w:rPr>
              <w:t>TransMed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Quarterly portfolio review</w:t>
            </w:r>
          </w:p>
        </w:tc>
      </w:tr>
      <w:tr w:rsidR="000C082D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UC-07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Onboard a new trial with data mapping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Translational Scientist + IT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 xml:space="preserve">New trial </w:t>
            </w:r>
            <w:proofErr w:type="spellStart"/>
            <w:r>
              <w:rPr>
                <w:sz w:val="20"/>
                <w:szCs w:val="20"/>
              </w:rPr>
              <w:t>kickoff</w:t>
            </w:r>
            <w:proofErr w:type="spellEnd"/>
          </w:p>
        </w:tc>
      </w:tr>
    </w:tbl>
    <w:p w:rsidR="000C082D" w:rsidRDefault="000C082D">
      <w:pPr>
        <w:spacing w:before="60" w:after="60"/>
      </w:pPr>
    </w:p>
    <w:p w:rsidR="000C082D" w:rsidRDefault="00000000">
      <w:pPr>
        <w:pStyle w:val="Heading1"/>
      </w:pPr>
      <w:r>
        <w:t>6. Functional Requirements</w:t>
      </w:r>
    </w:p>
    <w:p w:rsidR="000C082D" w:rsidRDefault="00000000">
      <w:pPr>
        <w:pStyle w:val="Heading2"/>
      </w:pPr>
      <w:r>
        <w:t>6.1 Data Ingestion &amp; Harmonization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Ingest raw output from ELISA plate readers (standard .</w:t>
      </w:r>
      <w:proofErr w:type="spellStart"/>
      <w:r>
        <w:t>xls</w:t>
      </w:r>
      <w:proofErr w:type="spellEnd"/>
      <w:r>
        <w:t xml:space="preserve"> / .csv formats)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Ingest flow cytometry data (FCS files, vendor exports)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Ingest genomic data: gene expression matrices, mutation calls (VCF), CNV profiles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Ingest clinical data: labs, vitals, adverse event tables (CDISC SDTM / </w:t>
      </w:r>
      <w:proofErr w:type="spellStart"/>
      <w:r>
        <w:t>ADaM</w:t>
      </w:r>
      <w:proofErr w:type="spellEnd"/>
      <w:r>
        <w:t xml:space="preserve"> format support required)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Auto-detect and normalize batch effects across runs and time points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Missing data imputation with transparency — show what was imputed and how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Maintain full data provenance: every value traceable to its source instrument and run</w:t>
      </w:r>
    </w:p>
    <w:p w:rsidR="000C082D" w:rsidRDefault="000C082D">
      <w:pPr>
        <w:spacing w:before="60" w:after="60"/>
      </w:pPr>
    </w:p>
    <w:p w:rsidR="000C082D" w:rsidRDefault="00000000">
      <w:pPr>
        <w:pStyle w:val="Heading2"/>
      </w:pPr>
      <w:r>
        <w:t>6.2 Stratification AI Core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Unsupervised clustering on baseline biomarker profiles (k-means, UMAP, hierarchical)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Supervised predictive models trained on early data to predict downstream efficacy endpoints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Multi-variate feature importance: identify top biomarker combinations driving signal, not just single markers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Longitudinal trajectory </w:t>
      </w:r>
      <w:proofErr w:type="spellStart"/>
      <w:r>
        <w:t>modeling</w:t>
      </w:r>
      <w:proofErr w:type="spellEnd"/>
      <w:r>
        <w:t>: detect biomarker change patterns over time as predictors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Causal inference layer: flag signals likely to be mechanistically linked vs. spuriously correlated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Survival analysis: auto-generate Kaplan-Meier curves split by any detected subgroup</w:t>
      </w:r>
    </w:p>
    <w:p w:rsidR="000C082D" w:rsidRDefault="000C082D">
      <w:pPr>
        <w:spacing w:before="60" w:after="60"/>
      </w:pPr>
    </w:p>
    <w:p w:rsidR="000C082D" w:rsidRDefault="00000000">
      <w:pPr>
        <w:pStyle w:val="Heading2"/>
      </w:pPr>
      <w:r>
        <w:t>6.3 Signal Monitoring &amp; Alerting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Continuous monitoring triggered on each new data batch ingestion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Three signal confidence tiers: Watch / Moderate / Strong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Weekly Signal Digest delivered via in-app notification and email summary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Configurable alert thresholds per trial to manage false positive rate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Signal history: track how each signal evolved across the trial timeline</w:t>
      </w:r>
    </w:p>
    <w:p w:rsidR="000C082D" w:rsidRDefault="000C082D">
      <w:pPr>
        <w:spacing w:before="60" w:after="60"/>
      </w:pPr>
    </w:p>
    <w:p w:rsidR="000C082D" w:rsidRDefault="00000000">
      <w:pPr>
        <w:pStyle w:val="Heading2"/>
      </w:pPr>
      <w:r>
        <w:lastRenderedPageBreak/>
        <w:t>6.4 Researcher Interface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Subgroup Explorer: drag-and-drop biomarker selector with live visualization update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Survival Curve Viewer: interactive KM curves with confidence intervals, split by any subgroup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Signal Feed: chronological list of detected signals with confidence, evidence summary, and suggested follow-up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Hypothesis Builder: researcher can define a custom subgroup hypothesis and test it against trial data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Biological Context Panel: auto-pull relevant published studies for each flagged biomarker combination</w:t>
      </w:r>
    </w:p>
    <w:p w:rsidR="000C082D" w:rsidRDefault="000C082D">
      <w:pPr>
        <w:spacing w:before="60" w:after="60"/>
      </w:pPr>
    </w:p>
    <w:p w:rsidR="000C082D" w:rsidRDefault="00000000">
      <w:pPr>
        <w:pStyle w:val="Heading2"/>
      </w:pPr>
      <w:r>
        <w:t>6.5 Regulatory Export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Auto-generate pre-specified subgroup analysis tables in FDA-ready format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Export KM curves and forest plots as publication-quality vector graphics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Audit trail of all AI-generated signals with timestamps, model versions, and data snapshots used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SAP (Statistical Analysis Plan) alignment checker — flags any exploratory analyses not pre-specified</w:t>
      </w:r>
    </w:p>
    <w:p w:rsidR="000C082D" w:rsidRDefault="000C082D">
      <w:pPr>
        <w:spacing w:before="60" w:after="60"/>
      </w:pPr>
    </w:p>
    <w:p w:rsidR="000C082D" w:rsidRDefault="00000000">
      <w:pPr>
        <w:pStyle w:val="Heading1"/>
      </w:pPr>
      <w:r>
        <w:t>7.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0C082D">
        <w:tc>
          <w:tcPr>
            <w:tcW w:w="20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0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3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0C082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Signal computation latency on new data batch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&lt; 4 hours post-ingestion</w:t>
            </w:r>
          </w:p>
        </w:tc>
      </w:tr>
      <w:tr w:rsidR="000C082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Interactive UI response 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&lt; 2 seconds for standard queries</w:t>
            </w:r>
          </w:p>
        </w:tc>
      </w:tr>
      <w:tr w:rsidR="000C082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Platform uptime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99.5% monthly</w:t>
            </w:r>
          </w:p>
        </w:tc>
      </w:tr>
      <w:tr w:rsidR="000C082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Data encryption at rest and in transit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AES-256 / TLS 1.3</w:t>
            </w:r>
          </w:p>
        </w:tc>
      </w:tr>
      <w:tr w:rsidR="000C082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21 CFR Part 11 audit trail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Full compliance required</w:t>
            </w:r>
          </w:p>
        </w:tc>
      </w:tr>
      <w:tr w:rsidR="000C082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GDPR / HIPAA data handling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Configurable per region</w:t>
            </w:r>
          </w:p>
        </w:tc>
      </w:tr>
      <w:tr w:rsidR="000C082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Deployment model for pharma clients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On-premise or private cloud</w:t>
            </w:r>
          </w:p>
        </w:tc>
      </w:tr>
      <w:tr w:rsidR="000C082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Concurrent trials supported per instance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Up to 50 active trials</w:t>
            </w:r>
          </w:p>
        </w:tc>
      </w:tr>
      <w:tr w:rsidR="000C082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Interpretability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 xml:space="preserve">AI model </w:t>
            </w:r>
            <w:proofErr w:type="spellStart"/>
            <w:r>
              <w:rPr>
                <w:sz w:val="20"/>
                <w:szCs w:val="20"/>
              </w:rPr>
              <w:t>explainability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SHAP values for all predictions</w:t>
            </w:r>
          </w:p>
        </w:tc>
      </w:tr>
    </w:tbl>
    <w:p w:rsidR="000C082D" w:rsidRDefault="000C082D">
      <w:pPr>
        <w:spacing w:before="60" w:after="60"/>
      </w:pPr>
    </w:p>
    <w:p w:rsidR="000C082D" w:rsidRDefault="00000000">
      <w:pPr>
        <w:pStyle w:val="Heading1"/>
      </w:pPr>
      <w:r>
        <w:t>8. MVP Scope (V1.0)</w:t>
      </w:r>
    </w:p>
    <w:p w:rsidR="000C082D" w:rsidRDefault="00000000">
      <w:pPr>
        <w:pStyle w:val="Heading2"/>
      </w:pPr>
      <w:r>
        <w:t>8.1 In Scope for V1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Data ingestion: ELISA + basic gene expression data only (2 modalities)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Unsupervised clustering on baseline biomarker profiles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Kaplan-Meier survival curve visualization split by detected cluster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Weekly signal digest (semi-automated; researcher reviews before send)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Single-trial deployment per instance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CSV / Excel data upload (API integrations post-V1)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Basic regulatory export: subgroup summary tables</w:t>
      </w:r>
    </w:p>
    <w:p w:rsidR="000C082D" w:rsidRDefault="00000000">
      <w:pPr>
        <w:pStyle w:val="Heading2"/>
      </w:pPr>
      <w:r>
        <w:t>8.2 Out of Scope for V1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Flow cytometry, proteomics, imaging data ingestion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Causal inference layer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Biological context / literature auto-pull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Portfolio-level cross-trial analytics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Real-time instrument API integrations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Companion diagnostic recommendation engine</w:t>
      </w:r>
    </w:p>
    <w:p w:rsidR="000C082D" w:rsidRDefault="00000000">
      <w:pPr>
        <w:pStyle w:val="Heading2"/>
      </w:pPr>
      <w:r>
        <w:t>8.3 V1 Success Criteria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At least 1 paying pilot customer (mid-size biotech, Phase II oncology trial)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Translational scientist completes core workflow without researcher support within 2 hours of onboarding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At least 1 credible stratification signal detected in pilot trial that the team validates as biologically plausible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NPS from pilot users &gt; 40</w:t>
      </w:r>
    </w:p>
    <w:p w:rsidR="000C082D" w:rsidRDefault="000C082D">
      <w:pPr>
        <w:spacing w:before="60" w:after="60"/>
      </w:pPr>
    </w:p>
    <w:p w:rsidR="000C082D" w:rsidRDefault="00000000">
      <w:pPr>
        <w:pStyle w:val="Heading1"/>
      </w:pPr>
      <w:r>
        <w:t>9. Success Metrics</w:t>
      </w:r>
    </w:p>
    <w:p w:rsidR="000C082D" w:rsidRDefault="00000000">
      <w:pPr>
        <w:pStyle w:val="Heading2"/>
      </w:pPr>
      <w:r>
        <w:t>9.1 Product Health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960"/>
      </w:tblGrid>
      <w:tr w:rsidR="000C082D">
        <w:tc>
          <w:tcPr>
            <w:tcW w:w="28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6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9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V1 Target</w:t>
            </w:r>
          </w:p>
        </w:tc>
      </w:tr>
      <w:tr w:rsidR="000C082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Signal Acceptance Rate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% of AI signals that researchers mark as 'credible' or 'investigating'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&gt; 30%</w:t>
            </w:r>
          </w:p>
        </w:tc>
      </w:tr>
      <w:tr w:rsidR="000C082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Override Rate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% of signals dismissed immediately without investigation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&lt; 40%</w:t>
            </w:r>
          </w:p>
        </w:tc>
      </w:tr>
      <w:tr w:rsidR="000C082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Weekly Active Researchers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Unique researchers interacting with platform each week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&gt; 60% of enrolled users</w:t>
            </w:r>
          </w:p>
        </w:tc>
      </w:tr>
      <w:tr w:rsidR="000C082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Time to First Signal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Days from trial data onboarding to first flagged signal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&lt; 14 days</w:t>
            </w:r>
          </w:p>
        </w:tc>
      </w:tr>
      <w:tr w:rsidR="000C082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Export Usage Rate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% of trials that generate a regulatory export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&gt; 50% by trial completion</w:t>
            </w:r>
          </w:p>
        </w:tc>
      </w:tr>
    </w:tbl>
    <w:p w:rsidR="000C082D" w:rsidRDefault="000C082D">
      <w:pPr>
        <w:spacing w:before="60" w:after="60"/>
      </w:pPr>
    </w:p>
    <w:p w:rsidR="000C082D" w:rsidRDefault="00000000">
      <w:pPr>
        <w:pStyle w:val="Heading2"/>
      </w:pPr>
      <w:r>
        <w:lastRenderedPageBreak/>
        <w:t>9.2 Business Metrics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Trials on platform: target 3 pilots in first 12 months post-launch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Contract value: $150K–$400K per trial (Phase I/II)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Expansion: at least 1 pilot converting to multi-trial or portfolio deal within 18 months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Scientific publication citing BSE-generated signal: at least 1 within 24 months</w:t>
      </w:r>
    </w:p>
    <w:p w:rsidR="000C082D" w:rsidRDefault="000C082D">
      <w:pPr>
        <w:spacing w:before="60" w:after="60"/>
      </w:pPr>
    </w:p>
    <w:p w:rsidR="000C082D" w:rsidRDefault="00000000">
      <w:pPr>
        <w:pStyle w:val="Heading1"/>
      </w:pPr>
      <w:r>
        <w:t>10.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8"/>
        <w:gridCol w:w="1097"/>
        <w:gridCol w:w="1240"/>
        <w:gridCol w:w="4655"/>
      </w:tblGrid>
      <w:tr w:rsidR="000C082D">
        <w:tc>
          <w:tcPr>
            <w:tcW w:w="24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1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47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0C082D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Data access — pharma IP sensitivity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On-premise deployment option; data never leaves client infrastructure</w:t>
            </w:r>
          </w:p>
        </w:tc>
      </w:tr>
      <w:tr w:rsidR="000C082D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 xml:space="preserve">Regulatory </w:t>
            </w:r>
            <w:proofErr w:type="spellStart"/>
            <w:r>
              <w:rPr>
                <w:sz w:val="20"/>
                <w:szCs w:val="20"/>
              </w:rPr>
              <w:t>skepticism</w:t>
            </w:r>
            <w:proofErr w:type="spellEnd"/>
            <w:r>
              <w:rPr>
                <w:sz w:val="20"/>
                <w:szCs w:val="20"/>
              </w:rPr>
              <w:t xml:space="preserve"> of AI-generated subgroups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Clear hypothesis-generation positioning; SAP alignment checker; full audit trail</w:t>
            </w:r>
          </w:p>
        </w:tc>
      </w:tr>
      <w:tr w:rsidR="000C082D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False positive fatigue — too many signals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Configurable confidence thresholds; tiered alerting; researcher validation gate</w:t>
            </w:r>
          </w:p>
        </w:tc>
      </w:tr>
      <w:tr w:rsidR="000C082D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Long enterprise sales cycle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Lead with trial rescue narrative; target biotech before Big Pharma; pilot-first pricing</w:t>
            </w:r>
          </w:p>
        </w:tc>
      </w:tr>
      <w:tr w:rsidR="000C082D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Scientific credibility gap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Scientific advisory board with translational medicine and biostatistics credentials</w:t>
            </w:r>
          </w:p>
        </w:tc>
      </w:tr>
      <w:tr w:rsidR="000C082D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Model performance on small 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Conservative confidence scoring at low N; flag uncertainty explicitly in UI</w:t>
            </w:r>
          </w:p>
        </w:tc>
      </w:tr>
    </w:tbl>
    <w:p w:rsidR="000C082D" w:rsidRDefault="000C082D">
      <w:pPr>
        <w:spacing w:before="60" w:after="60"/>
      </w:pPr>
    </w:p>
    <w:p w:rsidR="000C082D" w:rsidRDefault="00000000">
      <w:pPr>
        <w:pStyle w:val="Heading1"/>
      </w:pPr>
      <w:r>
        <w:t>11. Go-To-Market Strategy</w:t>
      </w:r>
    </w:p>
    <w:p w:rsidR="000C082D" w:rsidRDefault="00000000">
      <w:pPr>
        <w:pStyle w:val="Heading2"/>
      </w:pPr>
      <w:r>
        <w:t>11.1 Ideal First Customer Profile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Mid-size biotech (200–2000 employees), not Big Pharma initially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Oncology-focused pipeline (biomarker-rich, highest stratification awareness)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Phase II trial in progress with mixed or disappointing interim response data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Has a translational medicine team of at least 2–3 people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VP of Translational Medicine or CMO who has experienced a subgroup miss</w:t>
      </w:r>
    </w:p>
    <w:p w:rsidR="000C082D" w:rsidRDefault="000C082D">
      <w:pPr>
        <w:spacing w:before="60" w:after="60"/>
      </w:pPr>
    </w:p>
    <w:p w:rsidR="000C082D" w:rsidRDefault="00000000">
      <w:pPr>
        <w:pStyle w:val="Heading2"/>
      </w:pPr>
      <w:r>
        <w:t>11.2 Entry Narrative</w:t>
      </w:r>
    </w:p>
    <w:p w:rsidR="000C082D" w:rsidRDefault="00000000">
      <w:pPr>
        <w:spacing w:before="120" w:after="120"/>
      </w:pPr>
      <w:r>
        <w:rPr>
          <w:i/>
          <w:iCs/>
          <w:color w:val="2E5FAC"/>
        </w:rPr>
        <w:t>"You have a trial showing mixed response. We can tell you within 90 days whether there's a responder subpopulation worth pursuing — on your existing data, inside your infrastructure."</w:t>
      </w:r>
    </w:p>
    <w:p w:rsidR="000C082D" w:rsidRDefault="00000000">
      <w:pPr>
        <w:pStyle w:val="Heading2"/>
      </w:pPr>
      <w:r>
        <w:t>11.3 Pricing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0C082D">
        <w:tc>
          <w:tcPr>
            <w:tcW w:w="24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Tier</w:t>
            </w:r>
          </w:p>
        </w:tc>
        <w:tc>
          <w:tcPr>
            <w:tcW w:w="36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33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Price Range</w:t>
            </w:r>
          </w:p>
        </w:tc>
      </w:tr>
      <w:tr w:rsidR="000C082D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Phase I Pilot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Single trial, 6-month engagement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$150K – $300K</w:t>
            </w:r>
          </w:p>
        </w:tc>
      </w:tr>
      <w:tr w:rsidR="000C082D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Phase II Standard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Single trial, full duration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$400K – $800K</w:t>
            </w:r>
          </w:p>
        </w:tc>
      </w:tr>
      <w:tr w:rsidR="000C082D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Phase III Enterprise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Single trial + regulatory export package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$800K – $2M+</w:t>
            </w:r>
          </w:p>
        </w:tc>
      </w:tr>
      <w:tr w:rsidR="000C082D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Portfolio License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Up to 20 concurrent trials, enterprise integration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$3M – $8M/year</w:t>
            </w:r>
          </w:p>
        </w:tc>
      </w:tr>
    </w:tbl>
    <w:p w:rsidR="000C082D" w:rsidRDefault="000C082D">
      <w:pPr>
        <w:spacing w:before="60" w:after="60"/>
      </w:pPr>
    </w:p>
    <w:p w:rsidR="000C082D" w:rsidRDefault="00000000">
      <w:pPr>
        <w:pStyle w:val="Heading1"/>
      </w:pPr>
      <w:r>
        <w:t>12. Open Questions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Regulatory positioning: should BSE explicitly disclaim that signals are exploratory, or develop a validation framework that supports pre-specified-equivalent confidence? Needs regulatory affairs </w:t>
      </w:r>
      <w:proofErr w:type="spellStart"/>
      <w:r>
        <w:t>counsel</w:t>
      </w:r>
      <w:proofErr w:type="spellEnd"/>
      <w:r>
        <w:t xml:space="preserve"> input.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Deployment model: is on-premise the default, or do we pursue a federated cloud model where raw data never moves but compute runs on client infrastructure? Significant engineering and sales implications.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Scientific advisory board: who are the 3–5 names that would make a pharma CMO take a meeting? Need to identify and begin outreach before Series A.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Companion diagnostic co-development: at what point in the product roadmap do we formalize a co-development model with pharma partners? This dramatically changes the business model ceiling.</w:t>
      </w:r>
    </w:p>
    <w:p w:rsidR="000C082D" w:rsidRDefault="00000000">
      <w:pPr>
        <w:pStyle w:val="ListParagraph"/>
        <w:numPr>
          <w:ilvl w:val="0"/>
          <w:numId w:val="2"/>
        </w:numPr>
        <w:spacing w:before="60" w:after="60"/>
      </w:pPr>
      <w:r>
        <w:t>Model retraining: how do we handle model updates mid-trial without invalidating prior signal findings? Protocol needed for scientific defensibility.</w:t>
      </w:r>
    </w:p>
    <w:p w:rsidR="000C082D" w:rsidRDefault="000C082D">
      <w:pPr>
        <w:spacing w:before="60" w:after="60"/>
      </w:pPr>
    </w:p>
    <w:p w:rsidR="000C082D" w:rsidRDefault="00000000">
      <w:pPr>
        <w:pStyle w:val="Heading1"/>
      </w:pPr>
      <w:r>
        <w:t>Appendix: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C082D">
        <w:tc>
          <w:tcPr>
            <w:tcW w:w="280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3B5998"/>
              <w:left w:val="single" w:sz="1" w:space="0" w:color="3B5998"/>
              <w:bottom w:val="single" w:sz="1" w:space="0" w:color="3B5998"/>
              <w:right w:val="single" w:sz="1" w:space="0" w:color="3B599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0C082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Biomarker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A measurable biological indicator (protein level, gene expression, etc.) associated with a disease or drug response</w:t>
            </w:r>
          </w:p>
        </w:tc>
      </w:tr>
      <w:tr w:rsidR="000C082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Stratification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Dividing a trial population into subgroups based on biological characteristics</w:t>
            </w:r>
          </w:p>
        </w:tc>
      </w:tr>
      <w:tr w:rsidR="000C082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Companion Diagnostic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A test that identifies patients likely to respond to a specific therapy</w:t>
            </w:r>
          </w:p>
        </w:tc>
      </w:tr>
      <w:tr w:rsidR="000C082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KM Curve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Kaplan-Meier survival curve — standard visualization of time-to-event outcomes in clinical trials</w:t>
            </w:r>
          </w:p>
        </w:tc>
      </w:tr>
      <w:tr w:rsidR="000C082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CDISC SDTM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Clinical Data Interchange Standards Consortium Study Data Tabulation Model — regulatory data standard</w:t>
            </w:r>
          </w:p>
        </w:tc>
      </w:tr>
      <w:tr w:rsidR="000C082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SAP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 xml:space="preserve">Statistical Analysis Plan — pre-specified document defining how trial data will be </w:t>
            </w:r>
            <w:proofErr w:type="spellStart"/>
            <w:r>
              <w:rPr>
                <w:sz w:val="20"/>
                <w:szCs w:val="20"/>
              </w:rPr>
              <w:t>analyzed</w:t>
            </w:r>
            <w:proofErr w:type="spellEnd"/>
          </w:p>
        </w:tc>
      </w:tr>
      <w:tr w:rsidR="000C082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lastRenderedPageBreak/>
              <w:t>SHAP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proofErr w:type="spellStart"/>
            <w:r>
              <w:rPr>
                <w:sz w:val="20"/>
                <w:szCs w:val="20"/>
              </w:rPr>
              <w:t>SHapley</w:t>
            </w:r>
            <w:proofErr w:type="spellEnd"/>
            <w:r>
              <w:rPr>
                <w:sz w:val="20"/>
                <w:szCs w:val="20"/>
              </w:rPr>
              <w:t xml:space="preserve"> Additive </w:t>
            </w:r>
            <w:proofErr w:type="spellStart"/>
            <w:r>
              <w:rPr>
                <w:sz w:val="20"/>
                <w:szCs w:val="20"/>
              </w:rPr>
              <w:t>exPlanations</w:t>
            </w:r>
            <w:proofErr w:type="spellEnd"/>
            <w:r>
              <w:rPr>
                <w:sz w:val="20"/>
                <w:szCs w:val="20"/>
              </w:rPr>
              <w:t xml:space="preserve"> — method for explaining individual AI model predictions</w:t>
            </w:r>
          </w:p>
        </w:tc>
      </w:tr>
      <w:tr w:rsidR="000C082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PK/PD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C082D" w:rsidRDefault="00000000">
            <w:r>
              <w:rPr>
                <w:sz w:val="20"/>
                <w:szCs w:val="20"/>
              </w:rPr>
              <w:t>Pharmacokinetics / Pharmacodynamics — how a drug moves through and acts on the body</w:t>
            </w:r>
          </w:p>
        </w:tc>
      </w:tr>
    </w:tbl>
    <w:p w:rsidR="000C082D" w:rsidRDefault="000C082D">
      <w:pPr>
        <w:spacing w:before="60" w:after="60"/>
      </w:pPr>
    </w:p>
    <w:p w:rsidR="000C082D" w:rsidRDefault="000C082D">
      <w:pPr>
        <w:pBdr>
          <w:bottom w:val="single" w:sz="4" w:space="1" w:color="3B5998"/>
        </w:pBdr>
        <w:spacing w:before="100" w:after="100"/>
      </w:pPr>
    </w:p>
    <w:p w:rsidR="000C082D" w:rsidRDefault="00000000"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>Biomarker Stratification Engine — PRD v1.0 — Confidential</w:t>
      </w:r>
      <w:bookmarkEnd w:id="0"/>
      <w:bookmarkEnd w:id="1"/>
      <w:bookmarkEnd w:id="2"/>
    </w:p>
    <w:sectPr w:rsidR="000C08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B2EB3"/>
    <w:multiLevelType w:val="hybridMultilevel"/>
    <w:tmpl w:val="A24E023C"/>
    <w:lvl w:ilvl="0" w:tplc="3A704ED0">
      <w:start w:val="1"/>
      <w:numFmt w:val="bullet"/>
      <w:lvlText w:val="◦"/>
      <w:lvlJc w:val="left"/>
      <w:pPr>
        <w:ind w:left="1080" w:hanging="360"/>
      </w:pPr>
    </w:lvl>
    <w:lvl w:ilvl="1" w:tplc="DF4856DA">
      <w:numFmt w:val="decimal"/>
      <w:lvlText w:val=""/>
      <w:lvlJc w:val="left"/>
    </w:lvl>
    <w:lvl w:ilvl="2" w:tplc="77546AF6">
      <w:numFmt w:val="decimal"/>
      <w:lvlText w:val=""/>
      <w:lvlJc w:val="left"/>
    </w:lvl>
    <w:lvl w:ilvl="3" w:tplc="C47A0C7A">
      <w:numFmt w:val="decimal"/>
      <w:lvlText w:val=""/>
      <w:lvlJc w:val="left"/>
    </w:lvl>
    <w:lvl w:ilvl="4" w:tplc="15BC4508">
      <w:numFmt w:val="decimal"/>
      <w:lvlText w:val=""/>
      <w:lvlJc w:val="left"/>
    </w:lvl>
    <w:lvl w:ilvl="5" w:tplc="AA54F36E">
      <w:numFmt w:val="decimal"/>
      <w:lvlText w:val=""/>
      <w:lvlJc w:val="left"/>
    </w:lvl>
    <w:lvl w:ilvl="6" w:tplc="4AAE842A">
      <w:numFmt w:val="decimal"/>
      <w:lvlText w:val=""/>
      <w:lvlJc w:val="left"/>
    </w:lvl>
    <w:lvl w:ilvl="7" w:tplc="B9BAC3E2">
      <w:numFmt w:val="decimal"/>
      <w:lvlText w:val=""/>
      <w:lvlJc w:val="left"/>
    </w:lvl>
    <w:lvl w:ilvl="8" w:tplc="641C0ECA">
      <w:numFmt w:val="decimal"/>
      <w:lvlText w:val=""/>
      <w:lvlJc w:val="left"/>
    </w:lvl>
  </w:abstractNum>
  <w:abstractNum w:abstractNumId="1" w15:restartNumberingAfterBreak="0">
    <w:nsid w:val="0C1E0D5D"/>
    <w:multiLevelType w:val="hybridMultilevel"/>
    <w:tmpl w:val="9392C942"/>
    <w:lvl w:ilvl="0" w:tplc="74020748">
      <w:start w:val="1"/>
      <w:numFmt w:val="decimal"/>
      <w:lvlText w:val="%1."/>
      <w:lvlJc w:val="left"/>
      <w:pPr>
        <w:ind w:left="720" w:hanging="360"/>
      </w:pPr>
    </w:lvl>
    <w:lvl w:ilvl="1" w:tplc="C68EB004">
      <w:numFmt w:val="decimal"/>
      <w:lvlText w:val=""/>
      <w:lvlJc w:val="left"/>
    </w:lvl>
    <w:lvl w:ilvl="2" w:tplc="177E9F56">
      <w:numFmt w:val="decimal"/>
      <w:lvlText w:val=""/>
      <w:lvlJc w:val="left"/>
    </w:lvl>
    <w:lvl w:ilvl="3" w:tplc="24065F28">
      <w:numFmt w:val="decimal"/>
      <w:lvlText w:val=""/>
      <w:lvlJc w:val="left"/>
    </w:lvl>
    <w:lvl w:ilvl="4" w:tplc="D856D6C8">
      <w:numFmt w:val="decimal"/>
      <w:lvlText w:val=""/>
      <w:lvlJc w:val="left"/>
    </w:lvl>
    <w:lvl w:ilvl="5" w:tplc="6C0ECCA2">
      <w:numFmt w:val="decimal"/>
      <w:lvlText w:val=""/>
      <w:lvlJc w:val="left"/>
    </w:lvl>
    <w:lvl w:ilvl="6" w:tplc="E7727E30">
      <w:numFmt w:val="decimal"/>
      <w:lvlText w:val=""/>
      <w:lvlJc w:val="left"/>
    </w:lvl>
    <w:lvl w:ilvl="7" w:tplc="91500D3E">
      <w:numFmt w:val="decimal"/>
      <w:lvlText w:val=""/>
      <w:lvlJc w:val="left"/>
    </w:lvl>
    <w:lvl w:ilvl="8" w:tplc="7FA2D358">
      <w:numFmt w:val="decimal"/>
      <w:lvlText w:val=""/>
      <w:lvlJc w:val="left"/>
    </w:lvl>
  </w:abstractNum>
  <w:abstractNum w:abstractNumId="2" w15:restartNumberingAfterBreak="0">
    <w:nsid w:val="23716C6D"/>
    <w:multiLevelType w:val="hybridMultilevel"/>
    <w:tmpl w:val="A8A2E02A"/>
    <w:lvl w:ilvl="0" w:tplc="5A7A74EC">
      <w:start w:val="1"/>
      <w:numFmt w:val="bullet"/>
      <w:lvlText w:val="•"/>
      <w:lvlJc w:val="left"/>
      <w:pPr>
        <w:ind w:left="720" w:hanging="360"/>
      </w:pPr>
    </w:lvl>
    <w:lvl w:ilvl="1" w:tplc="E534BD40">
      <w:numFmt w:val="decimal"/>
      <w:lvlText w:val=""/>
      <w:lvlJc w:val="left"/>
    </w:lvl>
    <w:lvl w:ilvl="2" w:tplc="C316CDBA">
      <w:numFmt w:val="decimal"/>
      <w:lvlText w:val=""/>
      <w:lvlJc w:val="left"/>
    </w:lvl>
    <w:lvl w:ilvl="3" w:tplc="EF901DD8">
      <w:numFmt w:val="decimal"/>
      <w:lvlText w:val=""/>
      <w:lvlJc w:val="left"/>
    </w:lvl>
    <w:lvl w:ilvl="4" w:tplc="51B8904A">
      <w:numFmt w:val="decimal"/>
      <w:lvlText w:val=""/>
      <w:lvlJc w:val="left"/>
    </w:lvl>
    <w:lvl w:ilvl="5" w:tplc="EE6E9AD0">
      <w:numFmt w:val="decimal"/>
      <w:lvlText w:val=""/>
      <w:lvlJc w:val="left"/>
    </w:lvl>
    <w:lvl w:ilvl="6" w:tplc="8F86752C">
      <w:numFmt w:val="decimal"/>
      <w:lvlText w:val=""/>
      <w:lvlJc w:val="left"/>
    </w:lvl>
    <w:lvl w:ilvl="7" w:tplc="8BBE5996">
      <w:numFmt w:val="decimal"/>
      <w:lvlText w:val=""/>
      <w:lvlJc w:val="left"/>
    </w:lvl>
    <w:lvl w:ilvl="8" w:tplc="3FB45CCE">
      <w:numFmt w:val="decimal"/>
      <w:lvlText w:val=""/>
      <w:lvlJc w:val="left"/>
    </w:lvl>
  </w:abstractNum>
  <w:abstractNum w:abstractNumId="3" w15:restartNumberingAfterBreak="0">
    <w:nsid w:val="40BE77E1"/>
    <w:multiLevelType w:val="hybridMultilevel"/>
    <w:tmpl w:val="65E0DF88"/>
    <w:lvl w:ilvl="0" w:tplc="ED4E7DB6">
      <w:start w:val="1"/>
      <w:numFmt w:val="bullet"/>
      <w:lvlText w:val="●"/>
      <w:lvlJc w:val="left"/>
      <w:pPr>
        <w:ind w:left="720" w:hanging="360"/>
      </w:pPr>
    </w:lvl>
    <w:lvl w:ilvl="1" w:tplc="22821C5E">
      <w:start w:val="1"/>
      <w:numFmt w:val="bullet"/>
      <w:lvlText w:val="○"/>
      <w:lvlJc w:val="left"/>
      <w:pPr>
        <w:ind w:left="1440" w:hanging="360"/>
      </w:pPr>
    </w:lvl>
    <w:lvl w:ilvl="2" w:tplc="A2284072">
      <w:start w:val="1"/>
      <w:numFmt w:val="bullet"/>
      <w:lvlText w:val="■"/>
      <w:lvlJc w:val="left"/>
      <w:pPr>
        <w:ind w:left="2160" w:hanging="360"/>
      </w:pPr>
    </w:lvl>
    <w:lvl w:ilvl="3" w:tplc="C54EE9DE">
      <w:start w:val="1"/>
      <w:numFmt w:val="bullet"/>
      <w:lvlText w:val="●"/>
      <w:lvlJc w:val="left"/>
      <w:pPr>
        <w:ind w:left="2880" w:hanging="360"/>
      </w:pPr>
    </w:lvl>
    <w:lvl w:ilvl="4" w:tplc="743C9F8A">
      <w:start w:val="1"/>
      <w:numFmt w:val="bullet"/>
      <w:lvlText w:val="○"/>
      <w:lvlJc w:val="left"/>
      <w:pPr>
        <w:ind w:left="3600" w:hanging="360"/>
      </w:pPr>
    </w:lvl>
    <w:lvl w:ilvl="5" w:tplc="FAB49008">
      <w:start w:val="1"/>
      <w:numFmt w:val="bullet"/>
      <w:lvlText w:val="■"/>
      <w:lvlJc w:val="left"/>
      <w:pPr>
        <w:ind w:left="4320" w:hanging="360"/>
      </w:pPr>
    </w:lvl>
    <w:lvl w:ilvl="6" w:tplc="05863732">
      <w:start w:val="1"/>
      <w:numFmt w:val="bullet"/>
      <w:lvlText w:val="●"/>
      <w:lvlJc w:val="left"/>
      <w:pPr>
        <w:ind w:left="5040" w:hanging="360"/>
      </w:pPr>
    </w:lvl>
    <w:lvl w:ilvl="7" w:tplc="C9F65B30">
      <w:start w:val="1"/>
      <w:numFmt w:val="bullet"/>
      <w:lvlText w:val="●"/>
      <w:lvlJc w:val="left"/>
      <w:pPr>
        <w:ind w:left="5760" w:hanging="360"/>
      </w:pPr>
    </w:lvl>
    <w:lvl w:ilvl="8" w:tplc="C164D03A">
      <w:start w:val="1"/>
      <w:numFmt w:val="bullet"/>
      <w:lvlText w:val="●"/>
      <w:lvlJc w:val="left"/>
      <w:pPr>
        <w:ind w:left="6480" w:hanging="360"/>
      </w:pPr>
    </w:lvl>
  </w:abstractNum>
  <w:num w:numId="1" w16cid:durableId="762411931">
    <w:abstractNumId w:val="3"/>
    <w:lvlOverride w:ilvl="0">
      <w:startOverride w:val="1"/>
    </w:lvlOverride>
  </w:num>
  <w:num w:numId="2" w16cid:durableId="7821181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82D"/>
    <w:rsid w:val="000C082D"/>
    <w:rsid w:val="00464021"/>
    <w:rsid w:val="0083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875C305-751F-CB47-8152-70B004A33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FAC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2187</Words>
  <Characters>12466</Characters>
  <Application>Microsoft Office Word</Application>
  <DocSecurity>0</DocSecurity>
  <Lines>103</Lines>
  <Paragraphs>29</Paragraphs>
  <ScaleCrop>false</ScaleCrop>
  <Company/>
  <LinksUpToDate>false</LinksUpToDate>
  <CharactersWithSpaces>14624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Amruthamsh Adruguli</cp:lastModifiedBy>
  <cp:revision>3</cp:revision>
  <dcterms:created xsi:type="dcterms:W3CDTF">2026-03-07T21:17:00Z</dcterms:created>
  <dcterms:modified xsi:type="dcterms:W3CDTF">2026-03-08T16:51:00Z</dcterms:modified>
</cp:coreProperties>
</file>