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26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91</w:t>
            </w:r>
          </w:p>
        </w:tc>
      </w:tr>
      <w:tr>
        <w:tc>
          <w:tcPr>
            <w:tcW w:type="dxa" w:w="4759"/>
          </w:tcPr>
          <w:p>
            <w:r>
              <w:t>Functional requirements</w:t>
            </w:r>
          </w:p>
        </w:tc>
        <w:tc>
          <w:tcPr>
            <w:tcW w:type="dxa" w:w="4759"/>
          </w:tcPr>
          <w:p>
            <w:pPr>
              <w:jc w:val="right"/>
            </w:pPr>
            <w:r>
              <w:t>816</w:t>
            </w:r>
          </w:p>
        </w:tc>
      </w:tr>
      <w:tr>
        <w:tc>
          <w:tcPr>
            <w:tcW w:type="dxa" w:w="4759"/>
          </w:tcPr>
          <w:p>
            <w:r>
              <w:t>Capabilities built</w:t>
            </w:r>
          </w:p>
        </w:tc>
        <w:tc>
          <w:tcPr>
            <w:tcW w:type="dxa" w:w="4759"/>
          </w:tcPr>
          <w:p>
            <w:pPr>
              <w:jc w:val="right"/>
            </w:pPr>
            <w:r>
              <w:t>423 of 426</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