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81</w:t>
            </w:r>
          </w:p>
        </w:tc>
      </w:tr>
      <w:tr>
        <w:tc>
          <w:tcPr>
            <w:tcW w:type="dxa" w:w="4759"/>
          </w:tcPr>
          <w:p>
            <w:r>
              <w:t>Functional requirements</w:t>
            </w:r>
          </w:p>
        </w:tc>
        <w:tc>
          <w:tcPr>
            <w:tcW w:type="dxa" w:w="4759"/>
          </w:tcPr>
          <w:p>
            <w:pPr>
              <w:jc w:val="right"/>
            </w:pPr>
            <w:r>
              <w:t>744</w:t>
            </w:r>
          </w:p>
        </w:tc>
      </w:tr>
      <w:tr>
        <w:tc>
          <w:tcPr>
            <w:tcW w:type="dxa" w:w="4759"/>
          </w:tcPr>
          <w:p>
            <w:r>
              <w:t>Capabilities built</w:t>
            </w:r>
          </w:p>
        </w:tc>
        <w:tc>
          <w:tcPr>
            <w:tcW w:type="dxa" w:w="4759"/>
          </w:tcPr>
          <w:p>
            <w:pPr>
              <w:jc w:val="right"/>
            </w:pPr>
            <w:r>
              <w:t>365 of 367</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