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23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156</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86</w:t>
            </w:r>
          </w:p>
        </w:tc>
      </w:tr>
      <w:tr>
        <w:tc>
          <w:tcPr>
            <w:tcW w:type="dxa" w:w="4759"/>
          </w:tcPr>
          <w:p>
            <w:r>
              <w:t>Functional requirements</w:t>
            </w:r>
          </w:p>
        </w:tc>
        <w:tc>
          <w:tcPr>
            <w:tcW w:type="dxa" w:w="4759"/>
          </w:tcPr>
          <w:p>
            <w:pPr>
              <w:jc w:val="right"/>
            </w:pPr>
            <w:r>
              <w:t>780</w:t>
            </w:r>
          </w:p>
        </w:tc>
      </w:tr>
      <w:tr>
        <w:tc>
          <w:tcPr>
            <w:tcW w:type="dxa" w:w="4759"/>
          </w:tcPr>
          <w:p>
            <w:r>
              <w:t>Capabilities built</w:t>
            </w:r>
          </w:p>
        </w:tc>
        <w:tc>
          <w:tcPr>
            <w:tcW w:type="dxa" w:w="4759"/>
          </w:tcPr>
          <w:p>
            <w:pPr>
              <w:jc w:val="right"/>
            </w:pPr>
            <w:r>
              <w:t>403 of 405</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