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23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129</w:t>
            </w:r>
          </w:p>
        </w:tc>
      </w:tr>
      <w:tr>
        <w:tc>
          <w:tcPr>
            <w:tcW w:type="dxa" w:w="4759"/>
          </w:tcPr>
          <w:p>
            <w:r>
              <w:t>Database tables</w:t>
            </w:r>
          </w:p>
        </w:tc>
        <w:tc>
          <w:tcPr>
            <w:tcW w:type="dxa" w:w="4759"/>
          </w:tcPr>
          <w:p>
            <w:pPr>
              <w:jc w:val="right"/>
            </w:pPr>
            <w:r>
              <w:t>154</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84</w:t>
            </w:r>
          </w:p>
        </w:tc>
      </w:tr>
      <w:tr>
        <w:tc>
          <w:tcPr>
            <w:tcW w:type="dxa" w:w="4759"/>
          </w:tcPr>
          <w:p>
            <w:r>
              <w:t>Functional requirements</w:t>
            </w:r>
          </w:p>
        </w:tc>
        <w:tc>
          <w:tcPr>
            <w:tcW w:type="dxa" w:w="4759"/>
          </w:tcPr>
          <w:p>
            <w:pPr>
              <w:jc w:val="right"/>
            </w:pPr>
            <w:r>
              <w:t>768</w:t>
            </w:r>
          </w:p>
        </w:tc>
      </w:tr>
      <w:tr>
        <w:tc>
          <w:tcPr>
            <w:tcW w:type="dxa" w:w="4759"/>
          </w:tcPr>
          <w:p>
            <w:r>
              <w:t>Capabilities built</w:t>
            </w:r>
          </w:p>
        </w:tc>
        <w:tc>
          <w:tcPr>
            <w:tcW w:type="dxa" w:w="4759"/>
          </w:tcPr>
          <w:p>
            <w:pPr>
              <w:jc w:val="right"/>
            </w:pPr>
            <w:r>
              <w:t>389 of 391</w:t>
            </w:r>
          </w:p>
        </w:tc>
      </w:tr>
      <w:tr>
        <w:tc>
          <w:tcPr>
            <w:tcW w:type="dxa" w:w="4759"/>
          </w:tcPr>
          <w:p>
            <w:r>
              <w:t>Capabilities partial</w:t>
            </w:r>
          </w:p>
        </w:tc>
        <w:tc>
          <w:tcPr>
            <w:tcW w:type="dxa" w:w="4759"/>
          </w:tcPr>
          <w:p>
            <w:pPr>
              <w:jc w:val="right"/>
            </w:pPr>
            <w:r>
              <w:t>1</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