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MILESTONE</w:t>
            </w:r>
          </w:p>
        </w:tc>
        <w:tc>
          <w:tcPr>
            <w:tcW w:type="dxa" w:w="5102"/>
            <w:shd w:val="clear" w:fill="ECEFF0"/>
          </w:tcPr>
          <w:p>
            <w:r/>
            <w:r>
              <w:rPr>
                <w:rFonts w:ascii="Arial" w:hAnsi="Arial"/>
                <w:b/>
                <w:color w:val="0D3B3F"/>
                <w:sz w:val="15"/>
              </w:rPr>
              <w:t>TRIGGER</w:t>
            </w:r>
          </w:p>
        </w:tc>
        <w:tc>
          <w:tcPr>
            <w:tcW w:type="dxa" w:w="1417"/>
            <w:shd w:val="clear" w:fill="ECEFF0"/>
          </w:tcPr>
          <w:p>
            <w:r/>
            <w:r>
              <w:rPr>
                <w:rFonts w:ascii="Arial" w:hAnsi="Arial"/>
                <w:b/>
                <w:color w:val="0D3B3F"/>
                <w:sz w:val="15"/>
              </w:rPr>
              <w:t>SHARE</w:t>
            </w:r>
          </w:p>
        </w:tc>
      </w:tr>
      <w:tr>
        <w:tc>
          <w:tcPr>
            <w:tcW w:type="dxa" w:w="2551"/>
          </w:tcPr>
          <w:p>
            <w:r/>
            <w:r>
              <w:rPr>
                <w:rFonts w:ascii="Georgia" w:hAnsi="Georgia"/>
                <w:color w:val="101718"/>
                <w:sz w:val="18"/>
              </w:rPr>
              <w:t>Mobilisation</w:t>
            </w:r>
          </w:p>
        </w:tc>
        <w:tc>
          <w:tcPr>
            <w:tcW w:type="dxa" w:w="5102"/>
          </w:tcPr>
          <w:p>
            <w:r/>
            <w:r>
              <w:rPr>
                <w:rFonts w:ascii="Georgia" w:hAnsi="Georgia"/>
                <w:color w:val="101718"/>
                <w:sz w:val="18"/>
              </w:rPr>
              <w:t>Contract signature</w:t>
            </w:r>
          </w:p>
        </w:tc>
        <w:tc>
          <w:tcPr>
            <w:tcW w:type="dxa" w:w="1417"/>
          </w:tcPr>
          <w:p>
            <w:r/>
            <w:r>
              <w:rPr>
                <w:rFonts w:ascii="Georgia" w:hAnsi="Georgia"/>
                <w:color w:val="101718"/>
                <w:sz w:val="18"/>
              </w:rPr>
              <w:t>15%</w:t>
            </w:r>
          </w:p>
        </w:tc>
      </w:tr>
      <w:tr>
        <w:tc>
          <w:tcPr>
            <w:tcW w:type="dxa" w:w="2551"/>
          </w:tcPr>
          <w:p>
            <w:r/>
            <w:r>
              <w:rPr>
                <w:rFonts w:ascii="Georgia" w:hAnsi="Georgia"/>
                <w:color w:val="101718"/>
                <w:sz w:val="18"/>
              </w:rPr>
              <w:t>Phase 1 acceptance</w:t>
            </w:r>
          </w:p>
        </w:tc>
        <w:tc>
          <w:tcPr>
            <w:tcW w:type="dxa" w:w="5102"/>
          </w:tcPr>
          <w:p>
            <w:r/>
            <w:r>
              <w:rPr>
                <w:rFonts w:ascii="Georgia" w:hAnsi="Georgia"/>
                <w:color w:val="101718"/>
                <w:sz w:val="18"/>
              </w:rPr>
              <w:t>Workshop Core demonstrated against acceptance criteria</w:t>
            </w:r>
          </w:p>
        </w:tc>
        <w:tc>
          <w:tcPr>
            <w:tcW w:type="dxa" w:w="1417"/>
          </w:tcPr>
          <w:p>
            <w:r/>
            <w:r>
              <w:rPr>
                <w:rFonts w:ascii="Georgia" w:hAnsi="Georgia"/>
                <w:color w:val="101718"/>
                <w:sz w:val="18"/>
              </w:rPr>
              <w:t>30%</w:t>
            </w:r>
          </w:p>
        </w:tc>
      </w:tr>
      <w:tr>
        <w:tc>
          <w:tcPr>
            <w:tcW w:type="dxa" w:w="2551"/>
          </w:tcPr>
          <w:p>
            <w:r/>
            <w:r>
              <w:rPr>
                <w:rFonts w:ascii="Georgia" w:hAnsi="Georgia"/>
                <w:color w:val="101718"/>
                <w:sz w:val="18"/>
              </w:rPr>
              <w:t>Phase 2 acceptance</w:t>
            </w:r>
          </w:p>
        </w:tc>
        <w:tc>
          <w:tcPr>
            <w:tcW w:type="dxa" w:w="5102"/>
          </w:tcPr>
          <w:p>
            <w:r/>
            <w:r>
              <w:rPr>
                <w:rFonts w:ascii="Georgia" w:hAnsi="Georgia"/>
                <w:color w:val="101718"/>
                <w:sz w:val="18"/>
              </w:rPr>
              <w:t>Inventory and Procurement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Phase 3 acceptance</w:t>
            </w:r>
          </w:p>
        </w:tc>
        <w:tc>
          <w:tcPr>
            <w:tcW w:type="dxa" w:w="5102"/>
          </w:tcPr>
          <w:p>
            <w:r/>
            <w:r>
              <w:rPr>
                <w:rFonts w:ascii="Georgia" w:hAnsi="Georgia"/>
                <w:color w:val="101718"/>
                <w:sz w:val="18"/>
              </w:rPr>
              <w:t>Finance and ERP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Warranty release</w:t>
            </w:r>
          </w:p>
        </w:tc>
        <w:tc>
          <w:tcPr>
            <w:tcW w:type="dxa" w:w="5102"/>
          </w:tcPr>
          <w:p>
            <w:r/>
            <w:r>
              <w:rPr>
                <w:rFonts w:ascii="Georgia" w:hAnsi="Georgia"/>
                <w:color w:val="101718"/>
                <w:sz w:val="18"/>
              </w:rPr>
              <w:t>30 days after Phase 3 acceptance</w:t>
            </w:r>
          </w:p>
        </w:tc>
        <w:tc>
          <w:tcPr>
            <w:tcW w:type="dxa" w:w="1417"/>
          </w:tcPr>
          <w:p>
            <w:r/>
            <w:r>
              <w:rPr>
                <w:rFonts w:ascii="Georgia" w:hAnsi="Georgia"/>
                <w:color w:val="101718"/>
                <w:sz w:val="18"/>
              </w:rPr>
              <w:t>5%</w:t>
            </w:r>
          </w:p>
        </w:tc>
      </w:tr>
    </w:tbl>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701"/>
            <w:shd w:val="clear" w:fill="ECEFF0"/>
          </w:tcPr>
          <w:p>
            <w:r/>
            <w:r>
              <w:rPr>
                <w:rFonts w:ascii="Arial" w:hAnsi="Arial"/>
                <w:b/>
                <w:color w:val="0D3B3F"/>
                <w:sz w:val="15"/>
              </w:rPr>
              <w:t>TIER</w:t>
            </w:r>
          </w:p>
        </w:tc>
        <w:tc>
          <w:tcPr>
            <w:tcW w:type="dxa" w:w="1417"/>
            <w:shd w:val="clear" w:fill="ECEFF0"/>
          </w:tcPr>
          <w:p>
            <w:r/>
            <w:r>
              <w:rPr>
                <w:rFonts w:ascii="Arial" w:hAnsi="Arial"/>
                <w:b/>
                <w:color w:val="0D3B3F"/>
                <w:sz w:val="15"/>
              </w:rPr>
              <w:t>PRICE</w:t>
            </w:r>
          </w:p>
        </w:tc>
        <w:tc>
          <w:tcPr>
            <w:tcW w:type="dxa" w:w="5953"/>
            <w:shd w:val="clear" w:fill="ECEFF0"/>
          </w:tcPr>
          <w:p>
            <w:r/>
            <w:r>
              <w:rPr>
                <w:rFonts w:ascii="Arial" w:hAnsi="Arial"/>
                <w:b/>
                <w:color w:val="0D3B3F"/>
                <w:sz w:val="15"/>
              </w:rPr>
              <w:t>INCLUDES</w:t>
            </w:r>
          </w:p>
        </w:tc>
      </w:tr>
      <w:tr>
        <w:tc>
          <w:tcPr>
            <w:tcW w:type="dxa" w:w="1701"/>
          </w:tcPr>
          <w:p>
            <w:r/>
            <w:r>
              <w:rPr>
                <w:rFonts w:ascii="Georgia" w:hAnsi="Georgia"/>
                <w:color w:val="101718"/>
                <w:sz w:val="18"/>
              </w:rPr>
              <w:t>Core</w:t>
            </w:r>
          </w:p>
        </w:tc>
        <w:tc>
          <w:tcPr>
            <w:tcW w:type="dxa" w:w="1417"/>
          </w:tcPr>
          <w:p>
            <w:r/>
            <w:r>
              <w:rPr>
                <w:rFonts w:ascii="Georgia" w:hAnsi="Georgia"/>
                <w:color w:val="101718"/>
                <w:sz w:val="18"/>
              </w:rPr>
              <w:t>GBP 39</w:t>
            </w:r>
          </w:p>
        </w:tc>
        <w:tc>
          <w:tcPr>
            <w:tcW w:type="dxa" w:w="5953"/>
          </w:tcPr>
          <w:p>
            <w:r/>
            <w:r>
              <w:rPr>
                <w:rFonts w:ascii="Georgia" w:hAnsi="Georgia"/>
                <w:color w:val="101718"/>
                <w:sz w:val="18"/>
              </w:rPr>
              <w:t>Diary, jobs, customers, vehicles, inspections, estimates, invoicing, technician interface, customer portal, passport writing</w:t>
            </w:r>
          </w:p>
        </w:tc>
      </w:tr>
      <w:tr>
        <w:tc>
          <w:tcPr>
            <w:tcW w:type="dxa" w:w="1701"/>
          </w:tcPr>
          <w:p>
            <w:r/>
            <w:r>
              <w:rPr>
                <w:rFonts w:ascii="Georgia" w:hAnsi="Georgia"/>
                <w:color w:val="101718"/>
                <w:sz w:val="18"/>
              </w:rPr>
              <w:t>Complete</w:t>
            </w:r>
          </w:p>
        </w:tc>
        <w:tc>
          <w:tcPr>
            <w:tcW w:type="dxa" w:w="1417"/>
          </w:tcPr>
          <w:p>
            <w:r/>
            <w:r>
              <w:rPr>
                <w:rFonts w:ascii="Georgia" w:hAnsi="Georgia"/>
                <w:color w:val="101718"/>
                <w:sz w:val="18"/>
              </w:rPr>
              <w:t>GBP 69</w:t>
            </w:r>
          </w:p>
        </w:tc>
        <w:tc>
          <w:tcPr>
            <w:tcW w:type="dxa" w:w="5953"/>
          </w:tcPr>
          <w:p>
            <w:r/>
            <w:r>
              <w:rPr>
                <w:rFonts w:ascii="Georgia" w:hAnsi="Georgia"/>
                <w:color w:val="101718"/>
                <w:sz w:val="18"/>
              </w:rPr>
              <w:t>Core plus inventory, purchasing, suppliers, general ledger, financial statements, job profitability</w:t>
            </w:r>
          </w:p>
        </w:tc>
      </w:tr>
      <w:tr>
        <w:tc>
          <w:tcPr>
            <w:tcW w:type="dxa" w:w="1701"/>
          </w:tcPr>
          <w:p>
            <w:r/>
            <w:r>
              <w:rPr>
                <w:rFonts w:ascii="Georgia" w:hAnsi="Georgia"/>
                <w:color w:val="101718"/>
                <w:sz w:val="18"/>
              </w:rPr>
              <w:t>Group</w:t>
            </w:r>
          </w:p>
        </w:tc>
        <w:tc>
          <w:tcPr>
            <w:tcW w:type="dxa" w:w="1417"/>
          </w:tcPr>
          <w:p>
            <w:r/>
            <w:r>
              <w:rPr>
                <w:rFonts w:ascii="Georgia" w:hAnsi="Georgia"/>
                <w:color w:val="101718"/>
                <w:sz w:val="18"/>
              </w:rPr>
              <w:t>GBP 99</w:t>
            </w:r>
          </w:p>
        </w:tc>
        <w:tc>
          <w:tcPr>
            <w:tcW w:type="dxa" w:w="5953"/>
          </w:tcPr>
          <w:p>
            <w:r/>
            <w:r>
              <w:rPr>
                <w:rFonts w:ascii="Georgia" w:hAnsi="Georgia"/>
                <w:color w:val="101718"/>
                <w:sz w:val="18"/>
              </w:rPr>
              <w:t>Complete plus multi-location, consolidated reporting, stock transfer, commissions, priority support</w:t>
            </w:r>
          </w:p>
        </w:tc>
      </w:tr>
    </w:tbl>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685"/>
            <w:shd w:val="clear" w:fill="ECEFF0"/>
          </w:tcPr>
          <w:p>
            <w:r/>
            <w:r>
              <w:rPr>
                <w:rFonts w:ascii="Arial" w:hAnsi="Arial"/>
                <w:b/>
                <w:color w:val="0D3B3F"/>
                <w:sz w:val="15"/>
              </w:rPr>
              <w:t>PRODUCT</w:t>
            </w:r>
          </w:p>
        </w:tc>
        <w:tc>
          <w:tcPr>
            <w:tcW w:type="dxa" w:w="2268"/>
            <w:shd w:val="clear" w:fill="ECEFF0"/>
          </w:tcPr>
          <w:p>
            <w:r/>
            <w:r>
              <w:rPr>
                <w:rFonts w:ascii="Arial" w:hAnsi="Arial"/>
                <w:b/>
                <w:color w:val="0D3B3F"/>
                <w:sz w:val="15"/>
              </w:rPr>
              <w:t>PRICE</w:t>
            </w:r>
          </w:p>
        </w:tc>
        <w:tc>
          <w:tcPr>
            <w:tcW w:type="dxa" w:w="3118"/>
            <w:shd w:val="clear" w:fill="ECEFF0"/>
          </w:tcPr>
          <w:p>
            <w:r/>
            <w:r>
              <w:rPr>
                <w:rFonts w:ascii="Arial" w:hAnsi="Arial"/>
                <w:b/>
                <w:color w:val="0D3B3F"/>
                <w:sz w:val="15"/>
              </w:rPr>
              <w:t>BUYER</w:t>
            </w:r>
          </w:p>
        </w:tc>
      </w:tr>
      <w:tr>
        <w:tc>
          <w:tcPr>
            <w:tcW w:type="dxa" w:w="3685"/>
          </w:tcPr>
          <w:p>
            <w:r/>
            <w:r>
              <w:rPr>
                <w:rFonts w:ascii="Georgia" w:hAnsi="Georgia"/>
                <w:color w:val="101718"/>
                <w:sz w:val="18"/>
              </w:rPr>
              <w:t>Owner access to their own vehicles</w:t>
            </w:r>
          </w:p>
        </w:tc>
        <w:tc>
          <w:tcPr>
            <w:tcW w:type="dxa" w:w="2268"/>
          </w:tcPr>
          <w:p>
            <w:r/>
            <w:r>
              <w:rPr>
                <w:rFonts w:ascii="Georgia" w:hAnsi="Georgia"/>
                <w:color w:val="101718"/>
                <w:sz w:val="18"/>
              </w:rPr>
              <w:t>Free</w:t>
            </w:r>
          </w:p>
        </w:tc>
        <w:tc>
          <w:tcPr>
            <w:tcW w:type="dxa" w:w="3118"/>
          </w:tcPr>
          <w:p>
            <w:r/>
            <w:r>
              <w:rPr>
                <w:rFonts w:ascii="Georgia" w:hAnsi="Georgia"/>
                <w:color w:val="101718"/>
                <w:sz w:val="18"/>
              </w:rPr>
              <w:t>Every owner, permanently</w:t>
            </w:r>
          </w:p>
        </w:tc>
      </w:tr>
      <w:tr>
        <w:tc>
          <w:tcPr>
            <w:tcW w:type="dxa" w:w="3685"/>
          </w:tcPr>
          <w:p>
            <w:r/>
            <w:r>
              <w:rPr>
                <w:rFonts w:ascii="Georgia" w:hAnsi="Georgia"/>
                <w:color w:val="101718"/>
                <w:sz w:val="18"/>
              </w:rPr>
              <w:t>Share link to a prospective buyer</w:t>
            </w:r>
          </w:p>
        </w:tc>
        <w:tc>
          <w:tcPr>
            <w:tcW w:type="dxa" w:w="2268"/>
          </w:tcPr>
          <w:p>
            <w:r/>
            <w:r>
              <w:rPr>
                <w:rFonts w:ascii="Georgia" w:hAnsi="Georgia"/>
                <w:color w:val="101718"/>
                <w:sz w:val="18"/>
              </w:rPr>
              <w:t>Free</w:t>
            </w:r>
          </w:p>
        </w:tc>
        <w:tc>
          <w:tcPr>
            <w:tcW w:type="dxa" w:w="3118"/>
          </w:tcPr>
          <w:p>
            <w:r/>
            <w:r>
              <w:rPr>
                <w:rFonts w:ascii="Georgia" w:hAnsi="Georgia"/>
                <w:color w:val="101718"/>
                <w:sz w:val="18"/>
              </w:rPr>
              <w:t>Seller</w:t>
            </w:r>
          </w:p>
        </w:tc>
      </w:tr>
      <w:tr>
        <w:tc>
          <w:tcPr>
            <w:tcW w:type="dxa" w:w="3685"/>
          </w:tcPr>
          <w:p>
            <w:r/>
            <w:r>
              <w:rPr>
                <w:rFonts w:ascii="Georgia" w:hAnsi="Georgia"/>
                <w:color w:val="101718"/>
                <w:sz w:val="18"/>
              </w:rPr>
              <w:t>Verified buyer report</w:t>
            </w:r>
          </w:p>
        </w:tc>
        <w:tc>
          <w:tcPr>
            <w:tcW w:type="dxa" w:w="2268"/>
          </w:tcPr>
          <w:p>
            <w:r/>
            <w:r>
              <w:rPr>
                <w:rFonts w:ascii="Georgia" w:hAnsi="Georgia"/>
                <w:color w:val="101718"/>
                <w:sz w:val="18"/>
              </w:rPr>
              <w:t>GBP 14.99</w:t>
            </w:r>
          </w:p>
        </w:tc>
        <w:tc>
          <w:tcPr>
            <w:tcW w:type="dxa" w:w="3118"/>
          </w:tcPr>
          <w:p>
            <w:r/>
            <w:r>
              <w:rPr>
                <w:rFonts w:ascii="Georgia" w:hAnsi="Georgia"/>
                <w:color w:val="101718"/>
                <w:sz w:val="18"/>
              </w:rPr>
              <w:t>Private buyer</w:t>
            </w:r>
          </w:p>
        </w:tc>
      </w:tr>
      <w:tr>
        <w:tc>
          <w:tcPr>
            <w:tcW w:type="dxa" w:w="3685"/>
          </w:tcPr>
          <w:p>
            <w:r/>
            <w:r>
              <w:rPr>
                <w:rFonts w:ascii="Georgia" w:hAnsi="Georgia"/>
                <w:color w:val="101718"/>
                <w:sz w:val="18"/>
              </w:rPr>
              <w:t>Trade seat, unlimited reports</w:t>
            </w:r>
          </w:p>
        </w:tc>
        <w:tc>
          <w:tcPr>
            <w:tcW w:type="dxa" w:w="2268"/>
          </w:tcPr>
          <w:p>
            <w:r/>
            <w:r>
              <w:rPr>
                <w:rFonts w:ascii="Georgia" w:hAnsi="Georgia"/>
                <w:color w:val="101718"/>
                <w:sz w:val="18"/>
              </w:rPr>
              <w:t>GBP 99/month</w:t>
            </w:r>
          </w:p>
        </w:tc>
        <w:tc>
          <w:tcPr>
            <w:tcW w:type="dxa" w:w="3118"/>
          </w:tcPr>
          <w:p>
            <w:r/>
            <w:r>
              <w:rPr>
                <w:rFonts w:ascii="Georgia" w:hAnsi="Georgia"/>
                <w:color w:val="101718"/>
                <w:sz w:val="18"/>
              </w:rPr>
              <w:t>Used-car dealers</w:t>
            </w:r>
          </w:p>
        </w:tc>
      </w:tr>
      <w:tr>
        <w:tc>
          <w:tcPr>
            <w:tcW w:type="dxa" w:w="3685"/>
          </w:tcPr>
          <w:p>
            <w:r/>
            <w:r>
              <w:rPr>
                <w:rFonts w:ascii="Georgia" w:hAnsi="Georgia"/>
                <w:color w:val="101718"/>
                <w:sz w:val="18"/>
              </w:rPr>
              <w:t>API access</w:t>
            </w:r>
          </w:p>
        </w:tc>
        <w:tc>
          <w:tcPr>
            <w:tcW w:type="dxa" w:w="2268"/>
          </w:tcPr>
          <w:p>
            <w:r/>
            <w:r>
              <w:rPr>
                <w:rFonts w:ascii="Georgia" w:hAnsi="Georgia"/>
                <w:color w:val="101718"/>
                <w:sz w:val="18"/>
              </w:rPr>
              <w:t>Volume-priced</w:t>
            </w:r>
          </w:p>
        </w:tc>
        <w:tc>
          <w:tcPr>
            <w:tcW w:type="dxa" w:w="3118"/>
          </w:tcPr>
          <w:p>
            <w:r/>
            <w:r>
              <w:rPr>
                <w:rFonts w:ascii="Georgia" w:hAnsi="Georgia"/>
                <w:color w:val="101718"/>
                <w:sz w:val="18"/>
              </w:rPr>
              <w:t>Insurers, auctions, finance</w:t>
            </w:r>
          </w:p>
        </w:tc>
      </w:tr>
    </w:tbl>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tbl>
      <w:tblPr>
        <w:tblStyle w:val="TableGrid"/>
        <w:tblW w:type="auto" w:w="0"/>
        <w:jc w:val="left"/>
        <w:tblLayout w:type="autofit"/>
        <w:tblLook w:firstColumn="1" w:firstRow="1" w:lastColumn="0" w:lastRow="0" w:noHBand="0" w:noVBand="1" w:val="04A0"/>
      </w:tblPr>
      <w:tblGrid>
        <w:gridCol w:w="4759"/>
        <w:gridCol w:w="4759"/>
      </w:tblGrid>
      <w:tr>
        <w:tc>
          <w:tcPr>
            <w:tcW w:type="dxa" w:w="4535"/>
            <w:shd w:val="clear" w:fill="ECEFF0"/>
          </w:tcPr>
          <w:p>
            <w:r/>
            <w:r>
              <w:rPr>
                <w:rFonts w:ascii="Arial" w:hAnsi="Arial"/>
                <w:b/>
                <w:color w:val="0D3B3F"/>
                <w:sz w:val="15"/>
              </w:rPr>
              <w:t>MEASURE</w:t>
            </w:r>
          </w:p>
        </w:tc>
        <w:tc>
          <w:tcPr>
            <w:tcW w:type="dxa" w:w="4535"/>
            <w:shd w:val="clear" w:fill="ECEFF0"/>
          </w:tcPr>
          <w:p>
            <w:r/>
            <w:r>
              <w:rPr>
                <w:rFonts w:ascii="Arial" w:hAnsi="Arial"/>
                <w:b/>
                <w:color w:val="0D3B3F"/>
                <w:sz w:val="15"/>
              </w:rPr>
              <w:t>VALUE</w:t>
            </w:r>
          </w:p>
        </w:tc>
      </w:tr>
      <w:tr>
        <w:tc>
          <w:tcPr>
            <w:tcW w:type="dxa" w:w="4535"/>
          </w:tcPr>
          <w:p>
            <w:r/>
            <w:r>
              <w:rPr>
                <w:rFonts w:ascii="Georgia" w:hAnsi="Georgia"/>
                <w:color w:val="101718"/>
                <w:sz w:val="18"/>
              </w:rPr>
              <w:t>ARPA</w:t>
            </w:r>
          </w:p>
        </w:tc>
        <w:tc>
          <w:tcPr>
            <w:tcW w:type="dxa" w:w="4535"/>
          </w:tcPr>
          <w:p>
            <w:r/>
            <w:r>
              <w:rPr>
                <w:rFonts w:ascii="Georgia" w:hAnsi="Georgia"/>
                <w:color w:val="101718"/>
                <w:sz w:val="18"/>
              </w:rPr>
              <w:t>GBP 4,968 per year</w:t>
            </w:r>
          </w:p>
        </w:tc>
      </w:tr>
      <w:tr>
        <w:tc>
          <w:tcPr>
            <w:tcW w:type="dxa" w:w="4535"/>
          </w:tcPr>
          <w:p>
            <w:r/>
            <w:r>
              <w:rPr>
                <w:rFonts w:ascii="Georgia" w:hAnsi="Georgia"/>
                <w:color w:val="101718"/>
                <w:sz w:val="18"/>
              </w:rPr>
              <w:t>Gross margin</w:t>
            </w:r>
          </w:p>
        </w:tc>
        <w:tc>
          <w:tcPr>
            <w:tcW w:type="dxa" w:w="4535"/>
          </w:tcPr>
          <w:p>
            <w:r/>
            <w:r>
              <w:rPr>
                <w:rFonts w:ascii="Georgia" w:hAnsi="Georgia"/>
                <w:color w:val="101718"/>
                <w:sz w:val="18"/>
              </w:rPr>
              <w:t>82%</w:t>
            </w:r>
          </w:p>
        </w:tc>
      </w:tr>
      <w:tr>
        <w:tc>
          <w:tcPr>
            <w:tcW w:type="dxa" w:w="4535"/>
          </w:tcPr>
          <w:p>
            <w:r/>
            <w:r>
              <w:rPr>
                <w:rFonts w:ascii="Georgia" w:hAnsi="Georgia"/>
                <w:color w:val="101718"/>
                <w:sz w:val="18"/>
              </w:rPr>
              <w:t>Customer acquisition cost</w:t>
            </w:r>
          </w:p>
        </w:tc>
        <w:tc>
          <w:tcPr>
            <w:tcW w:type="dxa" w:w="4535"/>
          </w:tcPr>
          <w:p>
            <w:r/>
            <w:r>
              <w:rPr>
                <w:rFonts w:ascii="Georgia" w:hAnsi="Georgia"/>
                <w:color w:val="101718"/>
                <w:sz w:val="18"/>
              </w:rPr>
              <w:t>GBP 1,400</w:t>
            </w:r>
          </w:p>
        </w:tc>
      </w:tr>
      <w:tr>
        <w:tc>
          <w:tcPr>
            <w:tcW w:type="dxa" w:w="4535"/>
          </w:tcPr>
          <w:p>
            <w:r/>
            <w:r>
              <w:rPr>
                <w:rFonts w:ascii="Georgia" w:hAnsi="Georgia"/>
                <w:color w:val="101718"/>
                <w:sz w:val="18"/>
              </w:rPr>
              <w:t>CAC payback</w:t>
            </w:r>
          </w:p>
        </w:tc>
        <w:tc>
          <w:tcPr>
            <w:tcW w:type="dxa" w:w="4535"/>
          </w:tcPr>
          <w:p>
            <w:r/>
            <w:r>
              <w:rPr>
                <w:rFonts w:ascii="Georgia" w:hAnsi="Georgia"/>
                <w:color w:val="101718"/>
                <w:sz w:val="18"/>
              </w:rPr>
              <w:t>4.1 months</w:t>
            </w:r>
          </w:p>
        </w:tc>
      </w:tr>
      <w:tr>
        <w:tc>
          <w:tcPr>
            <w:tcW w:type="dxa" w:w="4535"/>
          </w:tcPr>
          <w:p>
            <w:r/>
            <w:r>
              <w:rPr>
                <w:rFonts w:ascii="Georgia" w:hAnsi="Georgia"/>
                <w:color w:val="101718"/>
                <w:sz w:val="18"/>
              </w:rPr>
              <w:t>Assumed annual churn</w:t>
            </w:r>
          </w:p>
        </w:tc>
        <w:tc>
          <w:tcPr>
            <w:tcW w:type="dxa" w:w="4535"/>
          </w:tcPr>
          <w:p>
            <w:r/>
            <w:r>
              <w:rPr>
                <w:rFonts w:ascii="Georgia" w:hAnsi="Georgia"/>
                <w:color w:val="101718"/>
                <w:sz w:val="18"/>
              </w:rPr>
              <w:t>12%</w:t>
            </w:r>
          </w:p>
        </w:tc>
      </w:tr>
      <w:tr>
        <w:tc>
          <w:tcPr>
            <w:tcW w:type="dxa" w:w="4535"/>
          </w:tcPr>
          <w:p>
            <w:r/>
            <w:r>
              <w:rPr>
                <w:rFonts w:ascii="Georgia" w:hAnsi="Georgia"/>
                <w:color w:val="101718"/>
                <w:sz w:val="18"/>
              </w:rPr>
              <w:t>Lifetime value</w:t>
            </w:r>
          </w:p>
        </w:tc>
        <w:tc>
          <w:tcPr>
            <w:tcW w:type="dxa" w:w="4535"/>
          </w:tcPr>
          <w:p>
            <w:r/>
            <w:r>
              <w:rPr>
                <w:rFonts w:ascii="Georgia" w:hAnsi="Georgia"/>
                <w:color w:val="101718"/>
                <w:sz w:val="18"/>
              </w:rPr>
              <w:t>GBP 33,800</w:t>
            </w:r>
          </w:p>
        </w:tc>
      </w:tr>
      <w:tr>
        <w:tc>
          <w:tcPr>
            <w:tcW w:type="dxa" w:w="4535"/>
          </w:tcPr>
          <w:p>
            <w:r/>
            <w:r>
              <w:rPr>
                <w:rFonts w:ascii="Georgia" w:hAnsi="Georgia"/>
                <w:color w:val="101718"/>
                <w:sz w:val="18"/>
              </w:rPr>
              <w:t>LTV to CAC</w:t>
            </w:r>
          </w:p>
        </w:tc>
        <w:tc>
          <w:tcPr>
            <w:tcW w:type="dxa" w:w="4535"/>
          </w:tcPr>
          <w:p>
            <w:r/>
            <w:r>
              <w:rPr>
                <w:rFonts w:ascii="Georgia" w:hAnsi="Georgia"/>
                <w:color w:val="101718"/>
                <w:sz w:val="18"/>
              </w:rPr>
              <w:t>24 : 1</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FRAGILE ASSUMPTION</w:t>
            </w:r>
          </w:p>
          <w:p>
            <w:r>
              <w:rPr>
                <w:rFonts w:ascii="Georgia" w:hAnsi="Georgia"/>
                <w:color w:val="101718"/>
                <w:sz w:val="19"/>
              </w:rPr>
              <w:t>That ratio is high because assumed annual churn is 12%. A workshop that has put its diary, its history and its ledger into a system does not casually leave, but this is an assumption until measured, and it is the single number most capable of making the model wrong.</w:t>
            </w:r>
          </w:p>
        </w:tc>
      </w:tr>
    </w:tbl>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680"/>
            <w:shd w:val="clear" w:fill="ECEFF0"/>
          </w:tcPr>
          <w:p>
            <w:r/>
            <w:r>
              <w:rPr>
                <w:rFonts w:ascii="Arial" w:hAnsi="Arial"/>
                <w:b/>
                <w:color w:val="0D3B3F"/>
                <w:sz w:val="15"/>
              </w:rPr>
              <w:t>#</w:t>
            </w:r>
          </w:p>
        </w:tc>
        <w:tc>
          <w:tcPr>
            <w:tcW w:type="dxa" w:w="3005"/>
            <w:shd w:val="clear" w:fill="ECEFF0"/>
          </w:tcPr>
          <w:p>
            <w:r/>
            <w:r>
              <w:rPr>
                <w:rFonts w:ascii="Arial" w:hAnsi="Arial"/>
                <w:b/>
                <w:color w:val="0D3B3F"/>
                <w:sz w:val="15"/>
              </w:rPr>
              <w:t>RISK</w:t>
            </w:r>
          </w:p>
        </w:tc>
        <w:tc>
          <w:tcPr>
            <w:tcW w:type="dxa" w:w="1134"/>
            <w:shd w:val="clear" w:fill="ECEFF0"/>
          </w:tcPr>
          <w:p>
            <w:r/>
            <w:r>
              <w:rPr>
                <w:rFonts w:ascii="Arial" w:hAnsi="Arial"/>
                <w:b/>
                <w:color w:val="0D3B3F"/>
                <w:sz w:val="15"/>
              </w:rPr>
              <w:t>IMPACT</w:t>
            </w:r>
          </w:p>
        </w:tc>
        <w:tc>
          <w:tcPr>
            <w:tcW w:type="dxa" w:w="4252"/>
            <w:shd w:val="clear" w:fill="ECEFF0"/>
          </w:tcPr>
          <w:p>
            <w:r/>
            <w:r>
              <w:rPr>
                <w:rFonts w:ascii="Arial" w:hAnsi="Arial"/>
                <w:b/>
                <w:color w:val="0D3B3F"/>
                <w:sz w:val="15"/>
              </w:rPr>
              <w:t>MITIGATION</w:t>
            </w:r>
          </w:p>
        </w:tc>
      </w:tr>
      <w:tr>
        <w:tc>
          <w:tcPr>
            <w:tcW w:type="dxa" w:w="680"/>
          </w:tcPr>
          <w:p>
            <w:r/>
            <w:r>
              <w:rPr>
                <w:rFonts w:ascii="Georgia" w:hAnsi="Georgia"/>
                <w:color w:val="101718"/>
                <w:sz w:val="18"/>
              </w:rPr>
              <w:t>R1</w:t>
            </w:r>
          </w:p>
        </w:tc>
        <w:tc>
          <w:tcPr>
            <w:tcW w:type="dxa" w:w="3005"/>
          </w:tcPr>
          <w:p>
            <w:r/>
            <w:r>
              <w:rPr>
                <w:rFonts w:ascii="Georgia" w:hAnsi="Georgia"/>
                <w:color w:val="101718"/>
                <w:sz w:val="18"/>
              </w:rPr>
              <w:t>Technicians do not adopt the shop-floor interface. Data quality collapses and the passport is worthless.</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Design partners from week 3. Usability testing on real tablets, in a real workshop, with gloves on, before Phase 1 acceptance.</w:t>
            </w:r>
          </w:p>
        </w:tc>
      </w:tr>
      <w:tr>
        <w:tc>
          <w:tcPr>
            <w:tcW w:type="dxa" w:w="680"/>
          </w:tcPr>
          <w:p>
            <w:r/>
            <w:r>
              <w:rPr>
                <w:rFonts w:ascii="Georgia" w:hAnsi="Georgia"/>
                <w:color w:val="101718"/>
                <w:sz w:val="18"/>
              </w:rPr>
              <w:t>R2</w:t>
            </w:r>
          </w:p>
        </w:tc>
        <w:tc>
          <w:tcPr>
            <w:tcW w:type="dxa" w:w="3005"/>
          </w:tcPr>
          <w:p>
            <w:r/>
            <w:r>
              <w:rPr>
                <w:rFonts w:ascii="Georgia" w:hAnsi="Georgia"/>
                <w:color w:val="101718"/>
                <w:sz w:val="18"/>
              </w:rPr>
              <w:t>Accounting correctness defects. A ledger that does not balance destroys trust irrecoverably.</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Double-entry invariants enforced in the database, not only in code. No unbalanced journal can post. External accountant review before Phase 3 acceptance.</w:t>
            </w:r>
          </w:p>
        </w:tc>
      </w:tr>
      <w:tr>
        <w:tc>
          <w:tcPr>
            <w:tcW w:type="dxa" w:w="680"/>
          </w:tcPr>
          <w:p>
            <w:r/>
            <w:r>
              <w:rPr>
                <w:rFonts w:ascii="Georgia" w:hAnsi="Georgia"/>
                <w:color w:val="101718"/>
                <w:sz w:val="18"/>
              </w:rPr>
              <w:t>R3</w:t>
            </w:r>
          </w:p>
        </w:tc>
        <w:tc>
          <w:tcPr>
            <w:tcW w:type="dxa" w:w="3005"/>
          </w:tcPr>
          <w:p>
            <w:r/>
            <w:r>
              <w:rPr>
                <w:rFonts w:ascii="Georgia" w:hAnsi="Georgia"/>
                <w:color w:val="101718"/>
                <w:sz w:val="18"/>
              </w:rPr>
              <w:t>Cold start. Passports stay empty long enough that the differentiator never materialises.</w:t>
            </w:r>
          </w:p>
        </w:tc>
        <w:tc>
          <w:tcPr>
            <w:tcW w:type="dxa" w:w="1134"/>
          </w:tcPr>
          <w:p>
            <w:r/>
            <w:r>
              <w:rPr>
                <w:rFonts w:ascii="Georgia" w:hAnsi="Georgia"/>
                <w:color w:val="101718"/>
                <w:sz w:val="18"/>
              </w:rPr>
              <w:t>High</w:t>
            </w:r>
          </w:p>
        </w:tc>
        <w:tc>
          <w:tcPr>
            <w:tcW w:type="dxa" w:w="4252"/>
          </w:tcPr>
          <w:p>
            <w:r/>
            <w:r>
              <w:rPr>
                <w:rFonts w:ascii="Georgia" w:hAnsi="Georgia"/>
                <w:color w:val="101718"/>
                <w:sz w:val="18"/>
              </w:rPr>
              <w:t>Phase 1 already writes passport events. Coverage measured from day one. Revenue share designed in from the start rather than retrofitted.</w:t>
            </w:r>
          </w:p>
        </w:tc>
      </w:tr>
      <w:tr>
        <w:tc>
          <w:tcPr>
            <w:tcW w:type="dxa" w:w="680"/>
          </w:tcPr>
          <w:p>
            <w:r/>
            <w:r>
              <w:rPr>
                <w:rFonts w:ascii="Georgia" w:hAnsi="Georgia"/>
                <w:color w:val="101718"/>
                <w:sz w:val="18"/>
              </w:rPr>
              <w:t>R4</w:t>
            </w:r>
          </w:p>
        </w:tc>
        <w:tc>
          <w:tcPr>
            <w:tcW w:type="dxa" w:w="3005"/>
          </w:tcPr>
          <w:p>
            <w:r/>
            <w:r>
              <w:rPr>
                <w:rFonts w:ascii="Georgia" w:hAnsi="Georgia"/>
                <w:color w:val="101718"/>
                <w:sz w:val="18"/>
              </w:rPr>
              <w:t>Scope expansion into general ERP. The word ERP attracts unbounded requirements.</w:t>
            </w:r>
          </w:p>
        </w:tc>
        <w:tc>
          <w:tcPr>
            <w:tcW w:type="dxa" w:w="1134"/>
          </w:tcPr>
          <w:p>
            <w:r/>
            <w:r>
              <w:rPr>
                <w:rFonts w:ascii="Georgia" w:hAnsi="Georgia"/>
                <w:color w:val="101718"/>
                <w:sz w:val="18"/>
              </w:rPr>
              <w:t>High</w:t>
            </w:r>
          </w:p>
        </w:tc>
        <w:tc>
          <w:tcPr>
            <w:tcW w:type="dxa" w:w="4252"/>
          </w:tcPr>
          <w:p>
            <w:r/>
            <w:r>
              <w:rPr>
                <w:rFonts w:ascii="Georgia" w:hAnsi="Georgia"/>
                <w:color w:val="101718"/>
                <w:sz w:val="18"/>
              </w:rPr>
              <w:t>Explicit written exclusions. Anything off the roadmap requires a change request with cost and schedule impact.</w:t>
            </w:r>
          </w:p>
        </w:tc>
      </w:tr>
      <w:tr>
        <w:tc>
          <w:tcPr>
            <w:tcW w:type="dxa" w:w="680"/>
          </w:tcPr>
          <w:p>
            <w:r/>
            <w:r>
              <w:rPr>
                <w:rFonts w:ascii="Georgia" w:hAnsi="Georgia"/>
                <w:color w:val="101718"/>
                <w:sz w:val="18"/>
              </w:rPr>
              <w:t>R5</w:t>
            </w:r>
          </w:p>
        </w:tc>
        <w:tc>
          <w:tcPr>
            <w:tcW w:type="dxa" w:w="3005"/>
          </w:tcPr>
          <w:p>
            <w:r/>
            <w:r>
              <w:rPr>
                <w:rFonts w:ascii="Georgia" w:hAnsi="Georgia"/>
                <w:color w:val="101718"/>
                <w:sz w:val="18"/>
              </w:rPr>
              <w:t>Data protection exposure. We hold personal data plus a vehicle's complete history.</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Tenant isolation enforced at the data-access layer rather than by convention. Documented security model. Penetration test before general availability.</w:t>
            </w:r>
          </w:p>
        </w:tc>
      </w:tr>
    </w:tbl>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ASSUMPTION</w:t>
            </w:r>
          </w:p>
        </w:tc>
        <w:tc>
          <w:tcPr>
            <w:tcW w:type="dxa" w:w="3402"/>
            <w:shd w:val="clear" w:fill="ECEFF0"/>
          </w:tcPr>
          <w:p>
            <w:r/>
            <w:r>
              <w:rPr>
                <w:rFonts w:ascii="Arial" w:hAnsi="Arial"/>
                <w:b/>
                <w:color w:val="0D3B3F"/>
                <w:sz w:val="15"/>
              </w:rPr>
              <w:t>IF FALSE</w:t>
            </w:r>
          </w:p>
        </w:tc>
        <w:tc>
          <w:tcPr>
            <w:tcW w:type="dxa" w:w="2551"/>
            <w:shd w:val="clear" w:fill="ECEFF0"/>
          </w:tcPr>
          <w:p>
            <w:r/>
            <w:r>
              <w:rPr>
                <w:rFonts w:ascii="Arial" w:hAnsi="Arial"/>
                <w:b/>
                <w:color w:val="0D3B3F"/>
                <w:sz w:val="15"/>
              </w:rPr>
              <w:t>DETECTED BY</w:t>
            </w:r>
          </w:p>
        </w:tc>
      </w:tr>
      <w:tr>
        <w:tc>
          <w:tcPr>
            <w:tcW w:type="dxa" w:w="3118"/>
          </w:tcPr>
          <w:p>
            <w:r/>
            <w:r>
              <w:rPr>
                <w:rFonts w:ascii="Georgia" w:hAnsi="Georgia"/>
                <w:color w:val="101718"/>
                <w:sz w:val="18"/>
              </w:rPr>
              <w:t>Workshops pay a premium for integrated accounting</w:t>
            </w:r>
          </w:p>
        </w:tc>
        <w:tc>
          <w:tcPr>
            <w:tcW w:type="dxa" w:w="3402"/>
          </w:tcPr>
          <w:p>
            <w:r/>
            <w:r>
              <w:rPr>
                <w:rFonts w:ascii="Georgia" w:hAnsi="Georgia"/>
                <w:color w:val="101718"/>
                <w:sz w:val="18"/>
              </w:rPr>
              <w:t>Compress to one GBP 45 tier and compete on the passport alone</w:t>
            </w:r>
          </w:p>
        </w:tc>
        <w:tc>
          <w:tcPr>
            <w:tcW w:type="dxa" w:w="2551"/>
          </w:tcPr>
          <w:p>
            <w:r/>
            <w:r>
              <w:rPr>
                <w:rFonts w:ascii="Georgia" w:hAnsi="Georgia"/>
                <w:color w:val="101718"/>
                <w:sz w:val="18"/>
              </w:rPr>
              <w:t>Design-partner pricing validation, week 20</w:t>
            </w:r>
          </w:p>
        </w:tc>
      </w:tr>
      <w:tr>
        <w:tc>
          <w:tcPr>
            <w:tcW w:type="dxa" w:w="3118"/>
          </w:tcPr>
          <w:p>
            <w:r/>
            <w:r>
              <w:rPr>
                <w:rFonts w:ascii="Georgia" w:hAnsi="Georgia"/>
                <w:color w:val="101718"/>
                <w:sz w:val="18"/>
              </w:rPr>
              <w:t>Local density achievable at reasonable acquisition cost</w:t>
            </w:r>
          </w:p>
        </w:tc>
        <w:tc>
          <w:tcPr>
            <w:tcW w:type="dxa" w:w="3402"/>
          </w:tcPr>
          <w:p>
            <w:r/>
            <w:r>
              <w:rPr>
                <w:rFonts w:ascii="Georgia" w:hAnsi="Georgia"/>
                <w:color w:val="101718"/>
                <w:sz w:val="18"/>
              </w:rPr>
              <w:t>The network effect never ignites; we are a workshop SaaS with a nice feature</w:t>
            </w:r>
          </w:p>
        </w:tc>
        <w:tc>
          <w:tcPr>
            <w:tcW w:type="dxa" w:w="2551"/>
          </w:tcPr>
          <w:p>
            <w:r/>
            <w:r>
              <w:rPr>
                <w:rFonts w:ascii="Georgia" w:hAnsi="Georgia"/>
                <w:color w:val="101718"/>
                <w:sz w:val="18"/>
              </w:rPr>
              <w:t>Density tracking, months 5 to 12</w:t>
            </w:r>
          </w:p>
        </w:tc>
      </w:tr>
      <w:tr>
        <w:tc>
          <w:tcPr>
            <w:tcW w:type="dxa" w:w="3118"/>
          </w:tcPr>
          <w:p>
            <w:r/>
            <w:r>
              <w:rPr>
                <w:rFonts w:ascii="Georgia" w:hAnsi="Georgia"/>
                <w:color w:val="101718"/>
                <w:sz w:val="18"/>
              </w:rPr>
              <w:t>Buyers pay for a report when free share links exist</w:t>
            </w:r>
          </w:p>
        </w:tc>
        <w:tc>
          <w:tcPr>
            <w:tcW w:type="dxa" w:w="3402"/>
          </w:tcPr>
          <w:p>
            <w:r/>
            <w:r>
              <w:rPr>
                <w:rFonts w:ascii="Georgia" w:hAnsi="Georgia"/>
                <w:color w:val="101718"/>
                <w:sz w:val="18"/>
              </w:rPr>
              <w:t>Passport revenue never materialises; the moat is defensive only</w:t>
            </w:r>
          </w:p>
        </w:tc>
        <w:tc>
          <w:tcPr>
            <w:tcW w:type="dxa" w:w="2551"/>
          </w:tcPr>
          <w:p>
            <w:r/>
            <w:r>
              <w:rPr>
                <w:rFonts w:ascii="Georgia" w:hAnsi="Georgia"/>
                <w:color w:val="101718"/>
                <w:sz w:val="18"/>
              </w:rPr>
              <w:t>First paid cohort, month 18</w:t>
            </w:r>
          </w:p>
        </w:tc>
      </w:tr>
      <w:tr>
        <w:tc>
          <w:tcPr>
            <w:tcW w:type="dxa" w:w="3118"/>
          </w:tcPr>
          <w:p>
            <w:r/>
            <w:r>
              <w:rPr>
                <w:rFonts w:ascii="Georgia" w:hAnsi="Georgia"/>
                <w:color w:val="101718"/>
                <w:sz w:val="18"/>
              </w:rPr>
              <w:t>Workshops are not hostile to data portability</w:t>
            </w:r>
          </w:p>
        </w:tc>
        <w:tc>
          <w:tcPr>
            <w:tcW w:type="dxa" w:w="3402"/>
          </w:tcPr>
          <w:p>
            <w:r/>
            <w:r>
              <w:rPr>
                <w:rFonts w:ascii="Georgia" w:hAnsi="Georgia"/>
                <w:color w:val="101718"/>
                <w:sz w:val="18"/>
              </w:rPr>
              <w:t>Adoption stalls on principle rather than product</w:t>
            </w:r>
          </w:p>
        </w:tc>
        <w:tc>
          <w:tcPr>
            <w:tcW w:type="dxa" w:w="2551"/>
          </w:tcPr>
          <w:p>
            <w:r/>
            <w:r>
              <w:rPr>
                <w:rFonts w:ascii="Georgia" w:hAnsi="Georgia"/>
                <w:color w:val="101718"/>
                <w:sz w:val="18"/>
              </w:rPr>
              <w:t>Design-partner interviews, week 6</w:t>
            </w:r>
          </w:p>
        </w:tc>
      </w:tr>
    </w:tbl>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701"/>
            <w:shd w:val="clear" w:fill="ECEFF0"/>
          </w:tcPr>
          <w:p>
            <w:r/>
            <w:r>
              <w:rPr>
                <w:rFonts w:ascii="Arial" w:hAnsi="Arial"/>
                <w:b/>
                <w:color w:val="0D3B3F"/>
                <w:sz w:val="15"/>
              </w:rPr>
              <w:t>PARTY</w:t>
            </w:r>
          </w:p>
        </w:tc>
        <w:tc>
          <w:tcPr>
            <w:tcW w:type="dxa" w:w="2835"/>
            <w:shd w:val="clear" w:fill="ECEFF0"/>
          </w:tcPr>
          <w:p>
            <w:r/>
            <w:r>
              <w:rPr>
                <w:rFonts w:ascii="Arial" w:hAnsi="Arial"/>
                <w:b/>
                <w:color w:val="0D3B3F"/>
                <w:sz w:val="15"/>
              </w:rPr>
              <w:t>NAME</w:t>
            </w:r>
          </w:p>
        </w:tc>
        <w:tc>
          <w:tcPr>
            <w:tcW w:type="dxa" w:w="2835"/>
            <w:shd w:val="clear" w:fill="ECEFF0"/>
          </w:tcPr>
          <w:p>
            <w:r/>
            <w:r>
              <w:rPr>
                <w:rFonts w:ascii="Arial" w:hAnsi="Arial"/>
                <w:b/>
                <w:color w:val="0D3B3F"/>
                <w:sz w:val="15"/>
              </w:rPr>
              <w:t>SIGNATURE</w:t>
            </w:r>
          </w:p>
        </w:tc>
        <w:tc>
          <w:tcPr>
            <w:tcW w:type="dxa" w:w="1701"/>
            <w:shd w:val="clear" w:fill="ECEFF0"/>
          </w:tcPr>
          <w:p>
            <w:r/>
            <w:r>
              <w:rPr>
                <w:rFonts w:ascii="Arial" w:hAnsi="Arial"/>
                <w:b/>
                <w:color w:val="0D3B3F"/>
                <w:sz w:val="15"/>
              </w:rPr>
              <w:t>DATE</w:t>
            </w:r>
          </w:p>
        </w:tc>
      </w:tr>
      <w:tr>
        <w:tc>
          <w:tcPr>
            <w:tcW w:type="dxa" w:w="1701"/>
          </w:tcPr>
          <w:p>
            <w:r/>
            <w:r>
              <w:rPr>
                <w:rFonts w:ascii="Georgia" w:hAnsi="Georgia"/>
                <w:color w:val="101718"/>
                <w:sz w:val="18"/>
              </w:rPr>
              <w:t>Client</w:t>
            </w:r>
          </w:p>
        </w:tc>
        <w:tc>
          <w:tcPr>
            <w:tcW w:type="dxa" w:w="2835"/>
          </w:tcPr>
          <w:p>
            <w:r/>
            <w:r>
              <w:rPr>
                <w:rFonts w:ascii="Georgia" w:hAnsi="Georgia"/>
                <w:color w:val="101718"/>
                <w:sz w:val="18"/>
              </w:rPr>
            </w:r>
          </w:p>
        </w:tc>
        <w:tc>
          <w:tcPr>
            <w:tcW w:type="dxa" w:w="2835"/>
          </w:tcPr>
          <w:p>
            <w:r/>
            <w:r>
              <w:rPr>
                <w:rFonts w:ascii="Georgia" w:hAnsi="Georgia"/>
                <w:color w:val="101718"/>
                <w:sz w:val="18"/>
              </w:rPr>
            </w:r>
          </w:p>
        </w:tc>
        <w:tc>
          <w:tcPr>
            <w:tcW w:type="dxa" w:w="1701"/>
          </w:tcPr>
          <w:p>
            <w:r/>
            <w:r>
              <w:rPr>
                <w:rFonts w:ascii="Georgia" w:hAnsi="Georgia"/>
                <w:color w:val="101718"/>
                <w:sz w:val="18"/>
              </w:rPr>
            </w:r>
          </w:p>
        </w:tc>
      </w:tr>
      <w:tr>
        <w:tc>
          <w:tcPr>
            <w:tcW w:type="dxa" w:w="1701"/>
          </w:tcPr>
          <w:p>
            <w:r/>
            <w:r>
              <w:rPr>
                <w:rFonts w:ascii="Georgia" w:hAnsi="Georgia"/>
                <w:color w:val="101718"/>
                <w:sz w:val="18"/>
              </w:rPr>
              <w:t>Supplier</w:t>
            </w:r>
          </w:p>
        </w:tc>
        <w:tc>
          <w:tcPr>
            <w:tcW w:type="dxa" w:w="2835"/>
          </w:tcPr>
          <w:p>
            <w:r/>
            <w:r>
              <w:rPr>
                <w:rFonts w:ascii="Georgia" w:hAnsi="Georgia"/>
                <w:color w:val="101718"/>
                <w:sz w:val="18"/>
              </w:rPr>
              <w:t>Amr Hefny</w:t>
            </w:r>
          </w:p>
        </w:tc>
        <w:tc>
          <w:tcPr>
            <w:tcW w:type="dxa" w:w="2835"/>
          </w:tcPr>
          <w:p>
            <w:r/>
            <w:r>
              <w:rPr>
                <w:rFonts w:ascii="Georgia" w:hAnsi="Georgia"/>
                <w:color w:val="101718"/>
                <w:sz w:val="18"/>
              </w:rPr>
            </w:r>
          </w:p>
        </w:tc>
        <w:tc>
          <w:tcPr>
            <w:tcW w:type="dxa" w:w="1701"/>
          </w:tcPr>
          <w:p>
            <w:r/>
            <w:r>
              <w:rPr>
                <w:rFonts w:ascii="Georgia" w:hAnsi="Georgia"/>
                <w:color w:val="101718"/>
                <w:sz w:val="18"/>
              </w:rPr>
            </w:r>
          </w:p>
        </w:tc>
      </w:tr>
    </w:tbl>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