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121</w:t>
            </w:r>
          </w:p>
        </w:tc>
      </w:tr>
      <w:tr>
        <w:tc>
          <w:tcPr>
            <w:tcW w:type="dxa" w:w="4759"/>
          </w:tcPr>
          <w:p>
            <w:r>
              <w:t>Database tables</w:t>
            </w:r>
          </w:p>
        </w:tc>
        <w:tc>
          <w:tcPr>
            <w:tcW w:type="dxa" w:w="4759"/>
          </w:tcPr>
          <w:p>
            <w:pPr>
              <w:jc w:val="right"/>
            </w:pPr>
            <w:r>
              <w:t>150</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60</w:t>
            </w:r>
          </w:p>
        </w:tc>
      </w:tr>
      <w:tr>
        <w:tc>
          <w:tcPr>
            <w:tcW w:type="dxa" w:w="4759"/>
          </w:tcPr>
          <w:p>
            <w:r>
              <w:t>Functional requirements</w:t>
            </w:r>
          </w:p>
        </w:tc>
        <w:tc>
          <w:tcPr>
            <w:tcW w:type="dxa" w:w="4759"/>
          </w:tcPr>
          <w:p>
            <w:pPr>
              <w:jc w:val="right"/>
            </w:pPr>
            <w:r>
              <w:t>603</w:t>
            </w:r>
          </w:p>
        </w:tc>
      </w:tr>
      <w:tr>
        <w:tc>
          <w:tcPr>
            <w:tcW w:type="dxa" w:w="4759"/>
          </w:tcPr>
          <w:p>
            <w:r>
              <w:t>Capabilities built</w:t>
            </w:r>
          </w:p>
        </w:tc>
        <w:tc>
          <w:tcPr>
            <w:tcW w:type="dxa" w:w="4759"/>
          </w:tcPr>
          <w:p>
            <w:pPr>
              <w:jc w:val="right"/>
            </w:pPr>
            <w:r>
              <w:t>226 of 229</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1</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