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9A6D24"/>
          <w:sz w:val="18"/>
        </w:rPr>
        <w:t>CARNET</w:t>
      </w:r>
    </w:p>
    <w:p>
      <w:pPr>
        <w:spacing w:after="360"/>
      </w:pPr>
      <w:r>
        <w:rPr>
          <w:rFonts w:ascii="Arial" w:hAnsi="Arial"/>
          <w:b/>
          <w:i w:val="0"/>
          <w:color w:val="6B7878"/>
          <w:sz w:val="18"/>
        </w:rPr>
        <w:t>BUSINESS CASE &amp; COMMERCIAL PROPOSAL</w:t>
      </w:r>
    </w:p>
    <w:p>
      <w:pPr>
        <w:spacing w:after="280"/>
      </w:pPr>
      <w:r>
        <w:rPr>
          <w:rFonts w:ascii="Arial" w:hAnsi="Arial"/>
          <w:b/>
          <w:color w:val="101718"/>
          <w:sz w:val="68"/>
        </w:rPr>
        <w:t>The history should</w:t>
        <w:br/>
        <w:t>belong to the car.</w:t>
      </w:r>
    </w:p>
    <w:p>
      <w:pPr>
        <w:spacing w:after="360"/>
      </w:pPr>
      <w:r>
        <w:rPr>
          <w:rFonts w:ascii="Georgia" w:hAnsi="Georgia"/>
          <w:b w:val="0"/>
          <w:color w:val="101718"/>
          <w:sz w:val="24"/>
        </w:rPr>
        <w:t xml:space="preserve">A workshop management and ERP platform whose distinguishing asset is a </w:t>
      </w:r>
      <w:r>
        <w:rPr>
          <w:rFonts w:ascii="Georgia" w:hAnsi="Georgia"/>
          <w:b/>
          <w:color w:val="101718"/>
          <w:sz w:val="24"/>
        </w:rPr>
        <w:t>portable vehicle history that follows the vehicle</w:t>
      </w:r>
      <w:r>
        <w:rPr>
          <w:rFonts w:ascii="Georgia" w:hAnsi="Georgia"/>
          <w:b w:val="0"/>
          <w:color w:val="101718"/>
          <w:sz w:val="24"/>
        </w:rPr>
        <w:t xml:space="preserve"> rather than the owner or the garage. This document sets out the problem, the product, the competitive position, the minimum viable release and the commercial terms.</w:t>
      </w:r>
    </w:p>
    <w:p>
      <w:pPr>
        <w:spacing w:after="80"/>
      </w:pPr>
    </w:p>
    <w:p>
      <w:r>
        <w:br w:type="page"/>
      </w:r>
    </w:p>
    <w:p>
      <w:pPr>
        <w:pStyle w:val="Heading1"/>
      </w:pPr>
      <w:r>
        <w:t>01  Executive summary</w:t>
      </w:r>
    </w:p>
    <w:p>
      <w:pPr>
        <w:pBdr>
          <w:bottom w:val="single" w:sz="12" w:color="0D3B3F"/>
        </w:pBdr>
        <w:spacing w:after="200"/>
      </w:pPr>
    </w:p>
    <w:p>
      <w:pPr>
        <w:spacing w:after="160"/>
      </w:pPr>
      <w:r>
        <w:rPr>
          <w:rFonts w:ascii="Georgia" w:hAnsi="Georgia"/>
          <w:b w:val="0"/>
          <w:i w:val="0"/>
          <w:color w:val="3F4C4D"/>
          <w:sz w:val="24"/>
        </w:rPr>
        <w:t>The workshop software market is mature and competently served. We do not propose to win on feature count. We propose to win on a structural advantage that incumbents cannot copy without rebuilding their data model.</w:t>
      </w:r>
    </w:p>
    <w:p>
      <w:pPr>
        <w:spacing w:after="160"/>
      </w:pPr>
      <w:r>
        <w:rPr>
          <w:rFonts w:ascii="Georgia" w:hAnsi="Georgia"/>
          <w:b w:val="0"/>
          <w:i w:val="0"/>
          <w:color w:val="101718"/>
          <w:sz w:val="21"/>
        </w:rPr>
        <w:t>A vehicle passes through four or five owners and a dozen workshops across a twenty-year life. At every step somebody writes something down, and almost none of it survives. The buyer inherits a car whose real condition is unknowable, the seller cannot prove the money they spent looking after it, and the next mechanic diagnoses from zero.</w:t>
      </w:r>
    </w:p>
    <w:p>
      <w:pPr>
        <w:spacing w:after="160"/>
      </w:pPr>
      <w:r>
        <w:rPr>
          <w:rFonts w:ascii="Georgia" w:hAnsi="Georgia"/>
          <w:b w:val="0"/>
          <w:color w:val="101718"/>
          <w:sz w:val="21"/>
        </w:rPr>
        <w:t xml:space="preserve">The data that would fix this </w:t>
      </w:r>
      <w:r>
        <w:rPr>
          <w:rFonts w:ascii="Georgia" w:hAnsi="Georgia"/>
          <w:b/>
          <w:color w:val="101718"/>
          <w:sz w:val="21"/>
        </w:rPr>
        <w:t>already gets typed into a computer</w:t>
      </w:r>
      <w:r>
        <w:rPr>
          <w:rFonts w:ascii="Georgia" w:hAnsi="Georgia"/>
          <w:b w:val="0"/>
          <w:color w:val="101718"/>
          <w:sz w:val="21"/>
        </w:rPr>
        <w:t>, every day, by the mechanic doing the work. It goes into workshop management software and is buried inside one tenant, where it dies the moment the customer goes elsewhere.</w:t>
      </w:r>
    </w:p>
    <w:p>
      <w:pPr>
        <w:spacing w:after="80"/>
      </w:pPr>
    </w:p>
    <w:p>
      <w:pPr>
        <w:spacing w:after="160"/>
      </w:pPr>
      <w:r>
        <w:rPr>
          <w:rFonts w:ascii="Georgia" w:hAnsi="Georgia"/>
          <w:b w:val="0"/>
          <w:color w:val="101718"/>
          <w:sz w:val="21"/>
        </w:rPr>
        <w:t xml:space="preserve">Carnet is one data core with two surfaces. </w:t>
      </w:r>
      <w:r>
        <w:rPr>
          <w:rFonts w:ascii="Georgia" w:hAnsi="Georgia"/>
          <w:b/>
          <w:color w:val="101718"/>
          <w:sz w:val="21"/>
        </w:rPr>
        <w:t>Carnet Workshop</w:t>
      </w:r>
      <w:r>
        <w:rPr>
          <w:rFonts w:ascii="Georgia" w:hAnsi="Georgia"/>
          <w:b w:val="0"/>
          <w:color w:val="101718"/>
          <w:sz w:val="21"/>
        </w:rPr>
        <w:t xml:space="preserve"> is the business we sell: booking, jobs, digital inspections, estimates, customer approval, invoicing, and a real double-entry ledger underneath so the owner sees job-level profit rather than only an invoice total. </w:t>
      </w:r>
      <w:r>
        <w:rPr>
          <w:rFonts w:ascii="Georgia" w:hAnsi="Georgia"/>
          <w:b/>
          <w:color w:val="101718"/>
          <w:sz w:val="21"/>
        </w:rPr>
        <w:t>Carnet Passport</w:t>
      </w:r>
      <w:r>
        <w:rPr>
          <w:rFonts w:ascii="Georgia" w:hAnsi="Georgia"/>
          <w:b w:val="0"/>
          <w:color w:val="101718"/>
          <w:sz w:val="21"/>
        </w:rPr>
        <w:t xml:space="preserve"> is the network we build: every completed job writes verified, attributed, tamper-evident events to that vehicle's permanent timeline, which transfers when the car is sold.</w:t>
      </w:r>
    </w:p>
    <w:p>
      <w:pPr>
        <w:keepNext/>
        <w:spacing w:after="60"/>
      </w:pPr>
      <w:r>
        <w:rPr>
          <w:rFonts w:ascii="Arial" w:hAnsi="Arial"/>
          <w:b/>
          <w:i w:val="0"/>
          <w:color w:val="6B7878"/>
          <w:sz w:val="15"/>
        </w:rPr>
        <w:t>HEADLINE FIGURES</w:t>
      </w:r>
    </w:p>
    <w:p>
      <w:pPr>
        <w:spacing w:after="80"/>
      </w:pPr>
    </w:p>
    <w:p>
      <w:pPr>
        <w:spacing w:after="160"/>
      </w:pPr>
      <w:r>
        <w:rPr>
          <w:rFonts w:ascii="Georgia" w:hAnsi="Georgia"/>
          <w:b/>
          <w:color w:val="101718"/>
          <w:sz w:val="21"/>
        </w:rPr>
        <w:t xml:space="preserve">The ask: </w:t>
      </w:r>
      <w:r>
        <w:rPr>
          <w:rFonts w:ascii="Georgia" w:hAnsi="Georgia"/>
          <w:b w:val="0"/>
          <w:color w:val="101718"/>
          <w:sz w:val="21"/>
        </w:rPr>
        <w:t>approval to deliver Phases 1 to 3 over 28 weeks at an estimated GBP 268,000 to 312,000 of build cost, producing a sellable product with paying customers by week 20.</w:t>
      </w:r>
    </w:p>
    <w:p>
      <w:r>
        <w:br w:type="page"/>
      </w:r>
    </w:p>
    <w:p>
      <w:pPr>
        <w:pStyle w:val="Heading1"/>
      </w:pPr>
      <w:r>
        <w:t>02  The problem</w:t>
      </w:r>
    </w:p>
    <w:p>
      <w:pPr>
        <w:pBdr>
          <w:bottom w:val="single" w:sz="12" w:color="0D3B3F"/>
        </w:pBdr>
        <w:spacing w:after="200"/>
      </w:pPr>
    </w:p>
    <w:p>
      <w:pPr>
        <w:spacing w:after="160"/>
      </w:pPr>
      <w:r>
        <w:rPr>
          <w:rFonts w:ascii="Georgia" w:hAnsi="Georgia"/>
          <w:b/>
          <w:i w:val="0"/>
          <w:color w:val="101718"/>
          <w:sz w:val="24"/>
        </w:rPr>
        <w:t>A car outlives every record of it.</w:t>
      </w:r>
    </w:p>
    <w:p>
      <w:pPr>
        <w:spacing w:after="160"/>
      </w:pPr>
      <w:r>
        <w:rPr>
          <w:rFonts w:ascii="Georgia" w:hAnsi="Georgia"/>
          <w:b w:val="0"/>
          <w:i w:val="0"/>
          <w:color w:val="101718"/>
          <w:sz w:val="21"/>
        </w:rPr>
        <w:t>The record is not missing. It is scattered across parties who have no mechanism, and no incentive, to share it. A dealer holds the handover report. One mechanic holds job card 412 in a closed system. The owner holds a box of receipts, half of them lost. The next mechanic starts from blank. The next owner knows nothing. Five partial histories, and the only party present at every event is the car, which cannot speak.</w:t>
      </w:r>
    </w:p>
    <w:p>
      <w:pPr>
        <w:keepNext/>
        <w:spacing w:after="60"/>
      </w:pPr>
      <w:r>
        <w:rPr>
          <w:rFonts w:ascii="Arial" w:hAnsi="Arial"/>
          <w:b/>
          <w:i w:val="0"/>
          <w:color w:val="6B7878"/>
          <w:sz w:val="15"/>
        </w:rPr>
        <w:t>COST OF A FRAGMENTED RECORD</w:t>
      </w:r>
    </w:p>
    <w:p>
      <w:pPr>
        <w:spacing w:after="80"/>
      </w:pPr>
    </w:p>
    <w:p>
      <w:pPr>
        <w:pStyle w:val="Heading3"/>
      </w:pPr>
      <w:r>
        <w:t>Why the existing answers do not work</w:t>
      </w:r>
    </w:p>
    <w:p>
      <w:pPr>
        <w:pStyle w:val="ListBullet"/>
        <w:spacing w:after="80"/>
      </w:pPr>
      <w:r>
        <w:rPr>
          <w:rFonts w:ascii="Georgia" w:hAnsi="Georgia"/>
          <w:b/>
          <w:sz w:val="21"/>
        </w:rPr>
        <w:t xml:space="preserve">Vehicle history reports </w:t>
      </w:r>
      <w:r>
        <w:rPr>
          <w:rFonts w:ascii="Georgia" w:hAnsi="Georgia"/>
          <w:sz w:val="21"/>
        </w:rPr>
        <w:t>aggregate what institutions already report: registrations, write-offs, some franchised-dealer servicing. They are thin on the routine maintenance performed by the independent workshops that service most cars. They can only report what somebody else already digitised.</w:t>
      </w:r>
    </w:p>
    <w:p>
      <w:pPr>
        <w:pStyle w:val="ListBullet"/>
        <w:spacing w:after="80"/>
      </w:pPr>
      <w:r>
        <w:rPr>
          <w:rFonts w:ascii="Georgia" w:hAnsi="Georgia"/>
          <w:b/>
          <w:sz w:val="21"/>
        </w:rPr>
        <w:t xml:space="preserve">Paper service booklets </w:t>
      </w:r>
      <w:r>
        <w:rPr>
          <w:rFonts w:ascii="Georgia" w:hAnsi="Georgia"/>
          <w:sz w:val="21"/>
        </w:rPr>
        <w:t>are forgeable, and lost with the glovebox.</w:t>
      </w:r>
    </w:p>
    <w:p>
      <w:pPr>
        <w:pStyle w:val="ListBullet"/>
        <w:spacing w:after="80"/>
      </w:pPr>
      <w:r>
        <w:rPr>
          <w:rFonts w:ascii="Georgia" w:hAnsi="Georgia"/>
          <w:b/>
          <w:sz w:val="21"/>
        </w:rPr>
        <w:t xml:space="preserve">Workshop software </w:t>
      </w:r>
      <w:r>
        <w:rPr>
          <w:rFonts w:ascii="Georgia" w:hAnsi="Georgia"/>
          <w:sz w:val="21"/>
        </w:rPr>
        <w:t>captures excellent data and then locks it inside one tenant.</w:t>
      </w:r>
    </w:p>
    <w:p>
      <w:r>
        <w:br w:type="page"/>
      </w:r>
    </w:p>
    <w:p>
      <w:pPr>
        <w:pStyle w:val="Heading1"/>
      </w:pPr>
      <w:r>
        <w:t>03  The product</w:t>
      </w:r>
    </w:p>
    <w:p>
      <w:pPr>
        <w:pBdr>
          <w:bottom w:val="single" w:sz="12" w:color="0D3B3F"/>
        </w:pBdr>
        <w:spacing w:after="200"/>
      </w:pPr>
    </w:p>
    <w:p>
      <w:pPr>
        <w:spacing w:after="160"/>
      </w:pPr>
      <w:r>
        <w:rPr>
          <w:rFonts w:ascii="Georgia" w:hAnsi="Georgia"/>
          <w:b/>
          <w:i w:val="0"/>
          <w:color w:val="101718"/>
          <w:sz w:val="24"/>
        </w:rPr>
        <w:t>One data core, two surfaces.</w:t>
      </w:r>
    </w:p>
    <w:p>
      <w:pPr>
        <w:spacing w:after="160"/>
      </w:pPr>
      <w:r>
        <w:rPr>
          <w:rFonts w:ascii="Georgia" w:hAnsi="Georgia"/>
          <w:b w:val="0"/>
          <w:i w:val="0"/>
          <w:color w:val="101718"/>
          <w:sz w:val="21"/>
        </w:rPr>
        <w:t>The commercial product and the strategic asset are the same system seen from two directions. This is what makes the model work: contribution is not a favour asked of workshops, it is a by-product of them running their own business.</w:t>
      </w:r>
    </w:p>
    <w:p>
      <w:pPr>
        <w:keepNext/>
        <w:spacing w:after="60"/>
      </w:pPr>
      <w:r>
        <w:rPr>
          <w:rFonts w:ascii="Arial" w:hAnsi="Arial"/>
          <w:b/>
          <w:i w:val="0"/>
          <w:color w:val="6B7878"/>
          <w:sz w:val="15"/>
        </w:rPr>
        <w:t>THE TWO SURFACES</w:t>
      </w:r>
    </w:p>
    <w:p>
      <w:pPr>
        <w:spacing w:after="80"/>
      </w:pPr>
    </w:p>
    <w:p>
      <w:pPr>
        <w:pStyle w:val="Heading3"/>
      </w:pPr>
      <w:r>
        <w:t>What a passport holds</w:t>
      </w:r>
    </w:p>
    <w:p>
      <w:pPr>
        <w:keepNext/>
        <w:spacing w:after="60"/>
      </w:pPr>
      <w:r>
        <w:rPr>
          <w:rFonts w:ascii="Arial" w:hAnsi="Arial"/>
          <w:b/>
          <w:i w:val="0"/>
          <w:color w:val="6B7878"/>
          <w:sz w:val="15"/>
        </w:rPr>
        <w:t>EVENT CATEGORIES ON THE VEHICLE TIMELINE</w:t>
      </w:r>
    </w:p>
    <w:p>
      <w:pPr>
        <w:spacing w:after="80"/>
      </w:pPr>
    </w:p>
    <w:p>
      <w:pPr>
        <w:spacing w:after="80"/>
      </w:pPr>
    </w:p>
    <w:p>
      <w:r>
        <w:br w:type="page"/>
      </w:r>
    </w:p>
    <w:p>
      <w:pPr>
        <w:pStyle w:val="Heading1"/>
      </w:pPr>
      <w:r>
        <w:t>04  How it works</w:t>
      </w:r>
    </w:p>
    <w:p>
      <w:pPr>
        <w:pBdr>
          <w:bottom w:val="single" w:sz="12" w:color="0D3B3F"/>
        </w:pBdr>
        <w:spacing w:after="200"/>
      </w:pPr>
    </w:p>
    <w:p>
      <w:pPr>
        <w:pStyle w:val="Heading3"/>
      </w:pPr>
      <w:r>
        <w:t>Trust, without a blockchain</w:t>
      </w:r>
    </w:p>
    <w:p>
      <w:pPr>
        <w:spacing w:after="160"/>
      </w:pPr>
      <w:r>
        <w:rPr>
          <w:rFonts w:ascii="Georgia" w:hAnsi="Georgia"/>
          <w:b w:val="0"/>
          <w:i w:val="0"/>
          <w:color w:val="101718"/>
          <w:sz w:val="21"/>
        </w:rPr>
        <w:t>A history that can be quietly edited is not evidence. Each event's cryptographic hash covers its own content and the hash of the event before it. Altering any entry changes its hash, which breaks every hash after it, and verification names the first point of divergence.</w:t>
      </w:r>
    </w:p>
    <w:p>
      <w:pPr>
        <w:spacing w:after="160"/>
      </w:pPr>
      <w:r>
        <w:rPr>
          <w:rFonts w:ascii="Georgia" w:hAnsi="Georgia"/>
          <w:b w:val="0"/>
          <w:i w:val="0"/>
          <w:color w:val="101718"/>
          <w:sz w:val="21"/>
        </w:rPr>
        <w:t>We deliberately did not use a distributed ledger. Consensus answers the question of who decides what is true when nobody is trusted. Our question is narrower: can the operator of this database silently rewrite the past. A hash chain, an append-only database trigger and periodic external anchoring answer it at a fraction of the cost, latency and regulatory exposure.</w:t>
      </w:r>
    </w:p>
    <w:p>
      <w:pPr>
        <w:pStyle w:val="Heading3"/>
      </w:pPr>
      <w:r>
        <w:t>The flow that generates the data</w:t>
      </w:r>
    </w:p>
    <w:p>
      <w:pPr>
        <w:spacing w:after="160"/>
      </w:pPr>
      <w:r>
        <w:rPr>
          <w:rFonts w:ascii="Georgia" w:hAnsi="Georgia"/>
          <w:b w:val="0"/>
          <w:i w:val="0"/>
          <w:color w:val="101718"/>
          <w:sz w:val="21"/>
        </w:rPr>
        <w:t>Nothing in this loop asks anybody to do extra work. The passport entries at the end are written automatically when the job completes.</w:t>
      </w:r>
    </w:p>
    <w:p>
      <w:pPr>
        <w:keepNext/>
        <w:spacing w:after="60"/>
      </w:pPr>
      <w:r>
        <w:rPr>
          <w:rFonts w:ascii="Arial" w:hAnsi="Arial"/>
          <w:b/>
          <w:i w:val="0"/>
          <w:color w:val="6B7878"/>
          <w:sz w:val="15"/>
        </w:rPr>
        <w:t>END-TO-END WORKFLOW</w:t>
      </w:r>
    </w:p>
    <w:p>
      <w:pPr>
        <w:spacing w:after="80"/>
      </w:pPr>
    </w:p>
    <w:p>
      <w:pPr>
        <w:pStyle w:val="Heading3"/>
      </w:pPr>
      <w:r>
        <w:t>Every operational act posts its financial consequence</w:t>
      </w:r>
    </w:p>
    <w:p>
      <w:pPr>
        <w:spacing w:after="160"/>
      </w:pPr>
      <w:r>
        <w:rPr>
          <w:rFonts w:ascii="Georgia" w:hAnsi="Georgia"/>
          <w:b w:val="0"/>
          <w:i w:val="0"/>
          <w:color w:val="101718"/>
          <w:sz w:val="21"/>
        </w:rPr>
        <w:t>This is the second differentiator, and the reason a workshop owner will pay a premium. Incumbents produce an invoice. We post the ledger entries behind it, so job profitability is a fact rather than a March guess from an accountant.</w:t>
      </w:r>
    </w:p>
    <w:p>
      <w:pPr>
        <w:keepNext/>
        <w:spacing w:after="60"/>
      </w:pPr>
      <w:r>
        <w:rPr>
          <w:rFonts w:ascii="Arial" w:hAnsi="Arial"/>
          <w:b/>
          <w:i w:val="0"/>
          <w:color w:val="6B7878"/>
          <w:sz w:val="15"/>
        </w:rPr>
        <w:t>WORKED EXAMPLE — A BRAKE REPAIR</w:t>
      </w:r>
    </w:p>
    <w:p>
      <w:pPr>
        <w:spacing w:after="80"/>
      </w:pPr>
    </w:p>
    <w:p>
      <w:pPr>
        <w:spacing w:after="80"/>
      </w:pPr>
    </w:p>
    <w:p>
      <w:r>
        <w:br w:type="page"/>
      </w:r>
    </w:p>
    <w:p>
      <w:pPr>
        <w:pStyle w:val="Heading1"/>
      </w:pPr>
      <w:r>
        <w:t>05  Why this works where others have not</w:t>
      </w:r>
    </w:p>
    <w:p>
      <w:pPr>
        <w:pBdr>
          <w:bottom w:val="single" w:sz="12" w:color="0D3B3F"/>
        </w:pBdr>
        <w:spacing w:after="200"/>
      </w:pPr>
    </w:p>
    <w:p>
      <w:pPr>
        <w:spacing w:after="160"/>
      </w:pPr>
      <w:r>
        <w:rPr>
          <w:rFonts w:ascii="Georgia" w:hAnsi="Georgia"/>
          <w:b w:val="0"/>
          <w:i w:val="0"/>
          <w:color w:val="101718"/>
          <w:sz w:val="21"/>
        </w:rPr>
        <w:t>Every vehicle-history network faces the same cold-start problem. The history is worthless until coverage is high, and nobody contributes until it is valuable. Our answer is that contribution is a side effect, not a request.</w:t>
      </w:r>
    </w:p>
    <w:p>
      <w:pPr>
        <w:pStyle w:val="ListNumber"/>
        <w:spacing w:after="80"/>
      </w:pPr>
      <w:r>
        <w:rPr>
          <w:rFonts w:ascii="Georgia" w:hAnsi="Georgia"/>
          <w:sz w:val="21"/>
        </w:rPr>
        <w:t>A workshop adopts Carnet because it is better workshop software.</w:t>
      </w:r>
    </w:p>
    <w:p>
      <w:pPr>
        <w:pStyle w:val="ListNumber"/>
        <w:spacing w:after="80"/>
      </w:pPr>
      <w:r>
        <w:rPr>
          <w:rFonts w:ascii="Georgia" w:hAnsi="Georgia"/>
          <w:sz w:val="21"/>
        </w:rPr>
        <w:t>Each completed job writes verified events to that vehicle's passport.</w:t>
      </w:r>
    </w:p>
    <w:p>
      <w:pPr>
        <w:pStyle w:val="ListNumber"/>
        <w:spacing w:after="80"/>
      </w:pPr>
      <w:r>
        <w:rPr>
          <w:rFonts w:ascii="Georgia" w:hAnsi="Georgia"/>
          <w:sz w:val="21"/>
        </w:rPr>
        <w:t>Coverage rises with no additional data entry by anyone.</w:t>
      </w:r>
    </w:p>
    <w:p>
      <w:pPr>
        <w:pStyle w:val="ListNumber"/>
        <w:spacing w:after="80"/>
      </w:pPr>
      <w:r>
        <w:rPr>
          <w:rFonts w:ascii="Georgia" w:hAnsi="Georgia"/>
          <w:sz w:val="21"/>
        </w:rPr>
        <w:t>Passports become valuable, so owners ask their workshop for one.</w:t>
      </w:r>
    </w:p>
    <w:p>
      <w:pPr>
        <w:pStyle w:val="ListNumber"/>
        <w:spacing w:after="80"/>
      </w:pPr>
      <w:r>
        <w:rPr>
          <w:rFonts w:ascii="Georgia" w:hAnsi="Georgia"/>
          <w:sz w:val="21"/>
        </w:rPr>
        <w:t>Owners prefer workshops that can issue one, and more workshops adopt.</w:t>
      </w:r>
    </w:p>
    <w:p>
      <w:pPr>
        <w:pStyle w:val="Heading3"/>
      </w:pPr>
      <w:r>
        <w:t>The contributor revenue share</w:t>
      </w:r>
    </w:p>
    <w:p>
      <w:pPr>
        <w:spacing w:after="160"/>
      </w:pPr>
      <w:r>
        <w:rPr>
          <w:rFonts w:ascii="Georgia" w:hAnsi="Georgia"/>
          <w:b w:val="0"/>
          <w:color w:val="101718"/>
          <w:sz w:val="21"/>
        </w:rPr>
        <w:t xml:space="preserve">A workshop's instinctive objection is: why would I help the garage down the road? The answer is that they get paid. When a verified buyer report is sold, </w:t>
      </w:r>
      <w:r>
        <w:rPr>
          <w:rFonts w:ascii="Georgia" w:hAnsi="Georgia"/>
          <w:b/>
          <w:color w:val="101718"/>
          <w:sz w:val="21"/>
        </w:rPr>
        <w:t>30% of net revenue is distributed among the workshops whose events populate that vehicle's timeline</w:t>
      </w:r>
      <w:r>
        <w:rPr>
          <w:rFonts w:ascii="Georgia" w:hAnsi="Georgia"/>
          <w:b w:val="0"/>
          <w:color w:val="101718"/>
          <w:sz w:val="21"/>
        </w:rPr>
        <w:t>, weighted by event count and recency.</w:t>
      </w:r>
    </w:p>
    <w:p>
      <w:pPr>
        <w:keepNext/>
        <w:spacing w:after="60"/>
      </w:pPr>
      <w:r>
        <w:rPr>
          <w:rFonts w:ascii="Arial" w:hAnsi="Arial"/>
          <w:b/>
          <w:i w:val="0"/>
          <w:color w:val="6B7878"/>
          <w:sz w:val="15"/>
        </w:rPr>
        <w:t>DISTRIBUTION OF A SINGLE VERIFIED BUYER REPORT</w:t>
      </w:r>
    </w:p>
    <w:p>
      <w:pPr>
        <w:spacing w:after="80"/>
      </w:pPr>
    </w:p>
    <w:p>
      <w:pPr>
        <w:spacing w:after="160"/>
      </w:pPr>
      <w:r>
        <w:rPr>
          <w:rFonts w:ascii="Georgia" w:hAnsi="Georgia"/>
          <w:b w:val="0"/>
          <w:i w:val="0"/>
          <w:color w:val="101718"/>
          <w:sz w:val="21"/>
        </w:rPr>
        <w:t>The sums are small. The signal is not. Publishing the rate makes it costly for us to change later, which is precisely what makes it credible now.</w:t>
      </w:r>
    </w:p>
    <w:p>
      <w:pPr>
        <w:pStyle w:val="Heading3"/>
      </w:pPr>
      <w:r>
        <w:t>What is actually defensible</w:t>
      </w:r>
    </w:p>
    <w:p>
      <w:pPr>
        <w:keepNext/>
        <w:spacing w:after="60"/>
      </w:pPr>
      <w:r>
        <w:rPr>
          <w:rFonts w:ascii="Arial" w:hAnsi="Arial"/>
          <w:b/>
          <w:i w:val="0"/>
          <w:color w:val="6B7878"/>
          <w:sz w:val="15"/>
        </w:rPr>
        <w:t>DEFENSIBILITY, ASSESSED CANDIDLY</w:t>
      </w:r>
    </w:p>
    <w:p>
      <w:pPr>
        <w:spacing w:after="80"/>
      </w:pPr>
    </w:p>
    <w:p>
      <w:pPr>
        <w:spacing w:after="160"/>
      </w:pPr>
      <w:r>
        <w:rPr>
          <w:rFonts w:ascii="Georgia" w:hAnsi="Georgia"/>
          <w:b w:val="0"/>
          <w:color w:val="101718"/>
          <w:sz w:val="21"/>
        </w:rPr>
        <w:t xml:space="preserve">The moat is time-based and coverage-based. That argues for exactly one thing: </w:t>
      </w:r>
      <w:r>
        <w:rPr>
          <w:rFonts w:ascii="Georgia" w:hAnsi="Georgia"/>
          <w:b/>
          <w:color w:val="101718"/>
          <w:sz w:val="21"/>
        </w:rPr>
        <w:t>start writing passport events in Phase 1, from the very first job</w:t>
      </w:r>
      <w:r>
        <w:rPr>
          <w:rFonts w:ascii="Georgia" w:hAnsi="Georgia"/>
          <w:b w:val="0"/>
          <w:color w:val="101718"/>
          <w:sz w:val="21"/>
        </w:rPr>
        <w:t>, even while the passport has almost no readers.</w:t>
      </w:r>
    </w:p>
    <w:p>
      <w:r>
        <w:br w:type="page"/>
      </w:r>
    </w:p>
    <w:p>
      <w:pPr>
        <w:pStyle w:val="Heading1"/>
      </w:pPr>
      <w:r>
        <w:t>06  Competitive position</w:t>
      </w:r>
    </w:p>
    <w:p>
      <w:pPr>
        <w:pBdr>
          <w:bottom w:val="single" w:sz="12" w:color="0D3B3F"/>
        </w:pBdr>
        <w:spacing w:after="200"/>
      </w:pPr>
    </w:p>
    <w:p>
      <w:pPr>
        <w:spacing w:after="160"/>
      </w:pPr>
      <w:r>
        <w:rPr>
          <w:rFonts w:ascii="Georgia" w:hAnsi="Georgia"/>
          <w:b w:val="0"/>
          <w:color w:val="101718"/>
          <w:sz w:val="21"/>
        </w:rPr>
        <w:t xml:space="preserve">The structural observation is that </w:t>
      </w:r>
      <w:r>
        <w:rPr>
          <w:rFonts w:ascii="Georgia" w:hAnsi="Georgia"/>
          <w:b/>
          <w:color w:val="101718"/>
          <w:sz w:val="21"/>
        </w:rPr>
        <w:t>nobody sits in both the workshop's operational system and the vehicle's lifetime record</w:t>
      </w:r>
      <w:r>
        <w:rPr>
          <w:rFonts w:ascii="Georgia" w:hAnsi="Georgia"/>
          <w:b w:val="0"/>
          <w:color w:val="101718"/>
          <w:sz w:val="21"/>
        </w:rPr>
        <w:t>. Those are treated as separate industries. They are the same data.</w:t>
      </w:r>
    </w:p>
    <w:p>
      <w:pPr>
        <w:keepNext/>
        <w:spacing w:after="60"/>
      </w:pPr>
      <w:r>
        <w:rPr>
          <w:rFonts w:ascii="Arial" w:hAnsi="Arial"/>
          <w:b/>
          <w:i w:val="0"/>
          <w:color w:val="6B7878"/>
          <w:sz w:val="15"/>
        </w:rPr>
        <w:t>COMPETITIVE LANDSCAPE</w:t>
      </w:r>
    </w:p>
    <w:p>
      <w:pPr>
        <w:spacing w:after="80"/>
      </w:pPr>
    </w:p>
    <w:p>
      <w:pPr>
        <w:pStyle w:val="Heading3"/>
      </w:pPr>
      <w:r>
        <w:t>Verified feature comparison</w:t>
      </w:r>
    </w:p>
    <w:p>
      <w:pPr>
        <w:spacing w:after="160"/>
      </w:pPr>
      <w:r>
        <w:rPr>
          <w:rFonts w:ascii="Georgia" w:hAnsi="Georgia"/>
          <w:b w:val="0"/>
          <w:i w:val="0"/>
          <w:color w:val="101718"/>
          <w:sz w:val="21"/>
        </w:rPr>
        <w:t>The following was verified inside MechanicDesk's product on 9 September 2026, not taken from marketing material. Their complete navigation is: Diary, Jobs, Customers and Vehicles, and under More: Invoices and Bills, Inventory and Suppliers, Service Schedules, Reports, Timesheets, POS, Settings, Help.</w:t>
      </w:r>
    </w:p>
    <w:p>
      <w:pPr>
        <w:keepNext/>
        <w:spacing w:after="60"/>
      </w:pPr>
      <w:r>
        <w:rPr>
          <w:rFonts w:ascii="Arial" w:hAnsi="Arial"/>
          <w:b/>
          <w:i w:val="0"/>
          <w:color w:val="6B7878"/>
          <w:sz w:val="15"/>
        </w:rPr>
        <w:t>CARNET AGAINST A VERIFIED INCUMBENT</w:t>
      </w:r>
    </w:p>
    <w:p>
      <w:pPr>
        <w:spacing w:after="80"/>
      </w:pPr>
    </w:p>
    <w:p>
      <w:pPr>
        <w:spacing w:after="160"/>
      </w:pPr>
      <w:r>
        <w:rPr>
          <w:rFonts w:ascii="Georgia" w:hAnsi="Georgia"/>
          <w:b w:val="0"/>
          <w:i w:val="0"/>
          <w:color w:val="101718"/>
          <w:sz w:val="21"/>
        </w:rPr>
        <w:t>Eleven capabilities where the incumbent has nothing. Nine of them are not features that could be added in a sprint; they require a data model built around the vehicle rather than around the tenant.</w:t>
      </w:r>
    </w:p>
    <w:p>
      <w:pPr>
        <w:pStyle w:val="Heading3"/>
      </w:pPr>
      <w:r>
        <w:t>Where we deliberately do not compete</w:t>
      </w:r>
    </w:p>
    <w:p>
      <w:pPr>
        <w:pStyle w:val="ListBullet"/>
        <w:spacing w:after="80"/>
      </w:pPr>
      <w:r>
        <w:rPr>
          <w:rFonts w:ascii="Georgia" w:hAnsi="Georgia"/>
          <w:b/>
          <w:sz w:val="21"/>
        </w:rPr>
        <w:t xml:space="preserve">On price. </w:t>
      </w:r>
      <w:r>
        <w:rPr>
          <w:rFonts w:ascii="Georgia" w:hAnsi="Georgia"/>
          <w:sz w:val="21"/>
        </w:rPr>
        <w:t>A system that posts your ledger correctly is worth more than one that does not, and a race to the bottom funds neither support nor correctness.</w:t>
      </w:r>
    </w:p>
    <w:p>
      <w:pPr>
        <w:pStyle w:val="ListBullet"/>
        <w:spacing w:after="80"/>
      </w:pPr>
      <w:r>
        <w:rPr>
          <w:rFonts w:ascii="Georgia" w:hAnsi="Georgia"/>
          <w:b/>
          <w:sz w:val="21"/>
        </w:rPr>
        <w:t xml:space="preserve">On breadth of ERP. </w:t>
      </w:r>
      <w:r>
        <w:rPr>
          <w:rFonts w:ascii="Georgia" w:hAnsi="Georgia"/>
          <w:sz w:val="21"/>
        </w:rPr>
        <w:t>Multi-jurisdiction payroll and fixed-asset depreciation are not our problem.</w:t>
      </w:r>
    </w:p>
    <w:p>
      <w:pPr>
        <w:pStyle w:val="ListBullet"/>
        <w:spacing w:after="80"/>
      </w:pPr>
      <w:r>
        <w:rPr>
          <w:rFonts w:ascii="Georgia" w:hAnsi="Georgia"/>
          <w:b/>
          <w:sz w:val="21"/>
        </w:rPr>
        <w:t xml:space="preserve">On franchised dealer groups. </w:t>
      </w:r>
      <w:r>
        <w:rPr>
          <w:rFonts w:ascii="Georgia" w:hAnsi="Georgia"/>
          <w:sz w:val="21"/>
        </w:rPr>
        <w:t>Different buyer, different sales motion, different compliance surface.</w:t>
      </w:r>
    </w:p>
    <w:p>
      <w:r>
        <w:br w:type="page"/>
      </w:r>
    </w:p>
    <w:p>
      <w:pPr>
        <w:pStyle w:val="Heading1"/>
      </w:pPr>
      <w:r>
        <w:t>07  The minimum viable release</w:t>
      </w:r>
    </w:p>
    <w:p>
      <w:pPr>
        <w:pBdr>
          <w:bottom w:val="single" w:sz="12" w:color="0D3B3F"/>
        </w:pBdr>
        <w:spacing w:after="200"/>
      </w:pPr>
    </w:p>
    <w:p>
      <w:pPr>
        <w:spacing w:after="160"/>
      </w:pPr>
      <w:r>
        <w:rPr>
          <w:rFonts w:ascii="Georgia" w:hAnsi="Georgia"/>
          <w:b w:val="0"/>
          <w:i w:val="0"/>
          <w:color w:val="3F4C4D"/>
          <w:sz w:val="24"/>
        </w:rPr>
        <w:t>An MVP is not version one with fewer features. It is the smallest thing that tests whether the idea is true.</w:t>
      </w:r>
    </w:p>
    <w:p>
      <w:pPr>
        <w:keepNext/>
        <w:spacing w:after="60"/>
      </w:pPr>
      <w:r>
        <w:rPr>
          <w:rFonts w:ascii="Arial" w:hAnsi="Arial"/>
          <w:b/>
          <w:i w:val="0"/>
          <w:color w:val="6B7878"/>
          <w:sz w:val="15"/>
        </w:rPr>
        <w:t>WHAT THE MVP IS ACTUALLY TESTING</w:t>
      </w:r>
    </w:p>
    <w:p>
      <w:pPr>
        <w:spacing w:after="80"/>
      </w:pPr>
    </w:p>
    <w:p>
      <w:pPr>
        <w:spacing w:after="80"/>
      </w:pPr>
    </w:p>
    <w:p>
      <w:pPr>
        <w:pStyle w:val="Heading3"/>
      </w:pPr>
      <w:r>
        <w:t>In scope</w:t>
      </w:r>
    </w:p>
    <w:p>
      <w:pPr>
        <w:pStyle w:val="ListBullet"/>
        <w:spacing w:after="80"/>
      </w:pPr>
      <w:r>
        <w:rPr>
          <w:rFonts w:ascii="Georgia" w:hAnsi="Georgia"/>
          <w:sz w:val="21"/>
        </w:rPr>
        <w:t>Multi-tenant foundation, authentication, six roles, full audit trail</w:t>
      </w:r>
    </w:p>
    <w:p>
      <w:pPr>
        <w:pStyle w:val="ListBullet"/>
        <w:spacing w:after="80"/>
      </w:pPr>
      <w:r>
        <w:rPr>
          <w:rFonts w:ascii="Georgia" w:hAnsi="Georgia"/>
          <w:sz w:val="21"/>
        </w:rPr>
        <w:t>Customers and vehicles, with VIN and registration lookup</w:t>
      </w:r>
    </w:p>
    <w:p>
      <w:pPr>
        <w:pStyle w:val="ListBullet"/>
        <w:spacing w:after="80"/>
      </w:pPr>
      <w:r>
        <w:rPr>
          <w:rFonts w:ascii="Georgia" w:hAnsi="Georgia"/>
          <w:sz w:val="21"/>
        </w:rPr>
        <w:t>The vehicle passport event ledger, including sharing and ownership transfer</w:t>
      </w:r>
    </w:p>
    <w:p>
      <w:pPr>
        <w:pStyle w:val="ListBullet"/>
        <w:spacing w:after="80"/>
      </w:pPr>
      <w:r>
        <w:rPr>
          <w:rFonts w:ascii="Georgia" w:hAnsi="Georgia"/>
          <w:sz w:val="21"/>
        </w:rPr>
        <w:t>Booking diary with bay and technician lanes, and drag to reschedule</w:t>
      </w:r>
    </w:p>
    <w:p>
      <w:pPr>
        <w:pStyle w:val="ListBullet"/>
        <w:spacing w:after="80"/>
      </w:pPr>
      <w:r>
        <w:rPr>
          <w:rFonts w:ascii="Georgia" w:hAnsi="Georgia"/>
          <w:sz w:val="21"/>
        </w:rPr>
        <w:t>The job lifecycle engine, with fourteen defined statuses</w:t>
      </w:r>
    </w:p>
    <w:p>
      <w:pPr>
        <w:pStyle w:val="ListBullet"/>
        <w:spacing w:after="80"/>
      </w:pPr>
      <w:r>
        <w:rPr>
          <w:rFonts w:ascii="Georgia" w:hAnsi="Georgia"/>
          <w:sz w:val="21"/>
        </w:rPr>
        <w:t>Digital vehicle inspection with photographs and structured measurements</w:t>
      </w:r>
    </w:p>
    <w:p>
      <w:pPr>
        <w:pStyle w:val="ListBullet"/>
        <w:spacing w:after="80"/>
      </w:pPr>
      <w:r>
        <w:rPr>
          <w:rFonts w:ascii="Georgia" w:hAnsi="Georgia"/>
          <w:sz w:val="21"/>
        </w:rPr>
        <w:t>Estimates, secure customer approval, line-by-line accept or decline</w:t>
      </w:r>
    </w:p>
    <w:p>
      <w:pPr>
        <w:pStyle w:val="ListBullet"/>
        <w:spacing w:after="80"/>
      </w:pPr>
      <w:r>
        <w:rPr>
          <w:rFonts w:ascii="Georgia" w:hAnsi="Georgia"/>
          <w:sz w:val="21"/>
        </w:rPr>
        <w:t>Invoicing, partial payments, gapless document numbering</w:t>
      </w:r>
    </w:p>
    <w:p>
      <w:pPr>
        <w:pStyle w:val="ListBullet"/>
        <w:spacing w:after="80"/>
      </w:pPr>
      <w:r>
        <w:rPr>
          <w:rFonts w:ascii="Georgia" w:hAnsi="Georgia"/>
          <w:sz w:val="21"/>
        </w:rPr>
        <w:t>Shop-floor technician interface, built for a tablet and gloves</w:t>
      </w:r>
    </w:p>
    <w:p>
      <w:pPr>
        <w:pStyle w:val="ListBullet"/>
        <w:spacing w:after="80"/>
      </w:pPr>
      <w:r>
        <w:rPr>
          <w:rFonts w:ascii="Georgia" w:hAnsi="Georgia"/>
          <w:sz w:val="21"/>
        </w:rPr>
        <w:t>Customer portal and the action-oriented workshop dashboard</w:t>
      </w:r>
    </w:p>
    <w:p>
      <w:pPr>
        <w:pStyle w:val="Heading3"/>
      </w:pPr>
      <w:r>
        <w:t>Out of scope, and where it lands</w:t>
      </w:r>
    </w:p>
    <w:p>
      <w:pPr>
        <w:keepNext/>
        <w:spacing w:after="60"/>
      </w:pPr>
      <w:r>
        <w:rPr>
          <w:rFonts w:ascii="Arial" w:hAnsi="Arial"/>
          <w:b/>
          <w:i w:val="0"/>
          <w:color w:val="6B7878"/>
          <w:sz w:val="15"/>
        </w:rPr>
        <w:t>DELIBERATE EXCLUSIONS</w:t>
      </w:r>
    </w:p>
    <w:p>
      <w:pPr>
        <w:spacing w:after="80"/>
      </w:pPr>
    </w:p>
    <w:p>
      <w:pPr>
        <w:spacing w:after="80"/>
      </w:pPr>
    </w:p>
    <w:p>
      <w:pPr>
        <w:pStyle w:val="Heading3"/>
      </w:pPr>
      <w:r>
        <w:t>Definition of done</w:t>
      </w:r>
    </w:p>
    <w:p>
      <w:pPr>
        <w:spacing w:after="160"/>
      </w:pPr>
      <w:r>
        <w:rPr>
          <w:rFonts w:ascii="Georgia" w:hAnsi="Georgia"/>
          <w:b w:val="0"/>
          <w:i w:val="0"/>
          <w:color w:val="101718"/>
          <w:sz w:val="21"/>
        </w:rPr>
        <w:t>The MVP is complete when all of these are true. Not most.</w:t>
      </w:r>
    </w:p>
    <w:p>
      <w:pPr>
        <w:pStyle w:val="ListBullet"/>
        <w:spacing w:after="80"/>
      </w:pPr>
      <w:r>
        <w:rPr>
          <w:rFonts w:ascii="Georgia" w:hAnsi="Georgia"/>
          <w:sz w:val="21"/>
        </w:rPr>
        <w:t>A workshop runs a complete day without touching another system</w:t>
      </w:r>
    </w:p>
    <w:p>
      <w:pPr>
        <w:pStyle w:val="ListBullet"/>
        <w:spacing w:after="80"/>
      </w:pPr>
      <w:r>
        <w:rPr>
          <w:rFonts w:ascii="Georgia" w:hAnsi="Georgia"/>
          <w:sz w:val="21"/>
        </w:rPr>
        <w:t>A technician completes a 30-item inspection with photographs in under four minutes, verified by observation rather than assertion</w:t>
      </w:r>
    </w:p>
    <w:p>
      <w:pPr>
        <w:pStyle w:val="ListBullet"/>
        <w:spacing w:after="80"/>
      </w:pPr>
      <w:r>
        <w:rPr>
          <w:rFonts w:ascii="Georgia" w:hAnsi="Georgia"/>
          <w:sz w:val="21"/>
        </w:rPr>
        <w:t>A customer approves an estimate on a phone in under sixty seconds, without an account</w:t>
      </w:r>
    </w:p>
    <w:p>
      <w:pPr>
        <w:pStyle w:val="ListBullet"/>
        <w:spacing w:after="80"/>
      </w:pPr>
      <w:r>
        <w:rPr>
          <w:rFonts w:ascii="Georgia" w:hAnsi="Georgia"/>
          <w:sz w:val="21"/>
        </w:rPr>
        <w:t>Every completed job has written its events to the vehicle passport</w:t>
      </w:r>
    </w:p>
    <w:p>
      <w:pPr>
        <w:pStyle w:val="ListBullet"/>
        <w:spacing w:after="80"/>
      </w:pPr>
      <w:r>
        <w:rPr>
          <w:rFonts w:ascii="Georgia" w:hAnsi="Georgia"/>
          <w:sz w:val="21"/>
        </w:rPr>
        <w:t>A passport can be shared by link and read by someone with no account</w:t>
      </w:r>
    </w:p>
    <w:p>
      <w:pPr>
        <w:pStyle w:val="ListBullet"/>
        <w:spacing w:after="80"/>
      </w:pPr>
      <w:r>
        <w:rPr>
          <w:rFonts w:ascii="Georgia" w:hAnsi="Georgia"/>
          <w:sz w:val="21"/>
        </w:rPr>
        <w:t>Ownership can be transferred and the history goes with the vehicle</w:t>
      </w:r>
    </w:p>
    <w:p>
      <w:pPr>
        <w:pStyle w:val="ListBullet"/>
        <w:spacing w:after="80"/>
      </w:pPr>
      <w:r>
        <w:rPr>
          <w:rFonts w:ascii="Georgia" w:hAnsi="Georgia"/>
          <w:sz w:val="21"/>
        </w:rPr>
        <w:t>Domain-layer test coverage at or above 70%, with the job lifecycle and passport chain at or above 90%</w:t>
      </w:r>
    </w:p>
    <w:p>
      <w:pPr>
        <w:pStyle w:val="ListBullet"/>
        <w:spacing w:after="80"/>
      </w:pPr>
      <w:r>
        <w:rPr>
          <w:rFonts w:ascii="Georgia" w:hAnsi="Georgia"/>
          <w:sz w:val="21"/>
        </w:rPr>
        <w:t>Two design partners have run live for four weeks with no parallel system</w:t>
      </w:r>
    </w:p>
    <w:p>
      <w:pPr>
        <w:keepNext/>
        <w:spacing w:after="60"/>
      </w:pPr>
      <w:r>
        <w:rPr>
          <w:rFonts w:ascii="Arial" w:hAnsi="Arial"/>
          <w:b/>
          <w:i w:val="0"/>
          <w:color w:val="6B7878"/>
          <w:sz w:val="15"/>
        </w:rPr>
        <w:t>MVP SUCCESS METRICS</w:t>
      </w:r>
    </w:p>
    <w:p>
      <w:pPr>
        <w:spacing w:after="80"/>
      </w:pPr>
    </w:p>
    <w:p>
      <w:r>
        <w:br w:type="page"/>
      </w:r>
    </w:p>
    <w:p>
      <w:pPr>
        <w:pStyle w:val="Heading1"/>
      </w:pPr>
      <w:r>
        <w:t>08  Commercial proposal</w:t>
      </w:r>
    </w:p>
    <w:p>
      <w:pPr>
        <w:pBdr>
          <w:bottom w:val="single" w:sz="12" w:color="0D3B3F"/>
        </w:pBdr>
        <w:spacing w:after="200"/>
      </w:pPr>
    </w:p>
    <w:p>
      <w:pPr>
        <w:pStyle w:val="Heading3"/>
      </w:pPr>
      <w:r>
        <w:t>Phasing, and why this order</w:t>
      </w:r>
    </w:p>
    <w:p>
      <w:pPr>
        <w:spacing w:after="160"/>
      </w:pPr>
      <w:r>
        <w:rPr>
          <w:rFonts w:ascii="Georgia" w:hAnsi="Georgia"/>
          <w:b w:val="0"/>
          <w:i w:val="0"/>
          <w:color w:val="101718"/>
          <w:sz w:val="21"/>
        </w:rPr>
        <w:t>The sequence is not arbitrary. It follows the dependency chain of the money: you cannot invoice what you did not job, you cannot cost a job without parts costs, and you cannot post a ledger entry without both.</w:t>
      </w:r>
    </w:p>
    <w:p>
      <w:pPr>
        <w:keepNext/>
        <w:spacing w:after="60"/>
      </w:pPr>
      <w:r>
        <w:rPr>
          <w:rFonts w:ascii="Arial" w:hAnsi="Arial"/>
          <w:b/>
          <w:i w:val="0"/>
          <w:color w:val="6B7878"/>
          <w:sz w:val="15"/>
        </w:rPr>
        <w:t>DELIVERY PHASES</w:t>
      </w:r>
    </w:p>
    <w:p>
      <w:pPr>
        <w:spacing w:after="80"/>
      </w:pPr>
    </w:p>
    <w:p>
      <w:pPr>
        <w:spacing w:after="160"/>
      </w:pPr>
      <w:r>
        <w:rPr>
          <w:rFonts w:ascii="Georgia" w:hAnsi="Georgia"/>
          <w:b w:val="0"/>
          <w:i w:val="0"/>
          <w:color w:val="101718"/>
          <w:sz w:val="21"/>
        </w:rPr>
        <w:t>Phases overlap by design: Phase 2 schema work does not contend with Phase 1 interface work. Running costs are separate from build, at roughly GBP 400 to 900 per month in year one for hosting, database, object storage, error tracking, SMS and email.</w:t>
      </w:r>
    </w:p>
    <w:p>
      <w:pPr>
        <w:pStyle w:val="Heading3"/>
      </w:pPr>
      <w:r>
        <w:t>Team</w:t>
      </w:r>
    </w:p>
    <w:p>
      <w:pPr>
        <w:keepNext/>
        <w:spacing w:after="60"/>
      </w:pPr>
      <w:r>
        <w:rPr>
          <w:rFonts w:ascii="Arial" w:hAnsi="Arial"/>
          <w:b/>
          <w:i w:val="0"/>
          <w:color w:val="6B7878"/>
          <w:sz w:val="15"/>
        </w:rPr>
        <w:t>TEAM SHAPE, PEAK 4.2 FTE</w:t>
      </w:r>
    </w:p>
    <w:p>
      <w:pPr>
        <w:spacing w:after="80"/>
      </w:pPr>
    </w:p>
    <w:p>
      <w:pPr>
        <w:spacing w:after="160"/>
      </w:pPr>
      <w:r>
        <w:rPr>
          <w:rFonts w:ascii="Georgia" w:hAnsi="Georgia"/>
          <w:b w:val="0"/>
          <w:i w:val="0"/>
          <w:color w:val="101718"/>
          <w:sz w:val="21"/>
        </w:rPr>
        <w:t>Deliberately small. This domain requires shared understanding of one intricate model, and that does not survive a large team.</w:t>
      </w:r>
    </w:p>
    <w:p>
      <w:pPr>
        <w:pStyle w:val="Heading3"/>
      </w:pPr>
      <w:r>
        <w:t>Milestones</w:t>
      </w:r>
    </w:p>
    <w:p>
      <w:pPr>
        <w:keepNext/>
        <w:spacing w:after="60"/>
      </w:pPr>
      <w:r>
        <w:rPr>
          <w:rFonts w:ascii="Arial" w:hAnsi="Arial"/>
          <w:b/>
          <w:i w:val="0"/>
          <w:color w:val="6B7878"/>
          <w:sz w:val="15"/>
        </w:rPr>
        <w:t>KEY DATES AND GATES</w:t>
      </w:r>
    </w:p>
    <w:p>
      <w:pPr>
        <w:spacing w:after="80"/>
      </w:pPr>
    </w:p>
    <w:p>
      <w:pPr>
        <w:pStyle w:val="Heading3"/>
      </w:pPr>
      <w:r>
        <w:t>Payment schedule</w:t>
      </w:r>
    </w:p>
    <w:p>
      <w:pPr>
        <w:keepNext/>
        <w:spacing w:after="60"/>
      </w:pPr>
      <w:r>
        <w:rPr>
          <w:rFonts w:ascii="Arial" w:hAnsi="Arial"/>
          <w:b/>
          <w:i w:val="0"/>
          <w:color w:val="6B7878"/>
          <w:sz w:val="15"/>
        </w:rPr>
        <w:t>PAYMENT AGAINST MILESTONES</w:t>
      </w:r>
    </w:p>
    <w:p>
      <w:pPr>
        <w:spacing w:after="80"/>
      </w:pPr>
    </w:p>
    <w:p>
      <w:pPr>
        <w:pStyle w:val="Heading3"/>
      </w:pPr>
      <w:r>
        <w:t>Assumptions</w:t>
      </w:r>
    </w:p>
    <w:p>
      <w:pPr>
        <w:pStyle w:val="ListNumber"/>
        <w:spacing w:after="80"/>
      </w:pPr>
      <w:r>
        <w:rPr>
          <w:rFonts w:ascii="Georgia" w:hAnsi="Georgia"/>
          <w:sz w:val="21"/>
        </w:rPr>
        <w:t>One product owner available a minimum of four hours per week for decisions and acceptance.</w:t>
      </w:r>
    </w:p>
    <w:p>
      <w:pPr>
        <w:pStyle w:val="ListNumber"/>
        <w:spacing w:after="80"/>
      </w:pPr>
      <w:r>
        <w:rPr>
          <w:rFonts w:ascii="Georgia" w:hAnsi="Georgia"/>
          <w:sz w:val="21"/>
        </w:rPr>
        <w:t>Two design-partner workshops give access to real workflows and fortnightly feedback from week 3.</w:t>
      </w:r>
    </w:p>
    <w:p>
      <w:pPr>
        <w:pStyle w:val="ListNumber"/>
        <w:spacing w:after="80"/>
      </w:pPr>
      <w:r>
        <w:rPr>
          <w:rFonts w:ascii="Georgia" w:hAnsi="Georgia"/>
          <w:sz w:val="21"/>
        </w:rPr>
        <w:t>Single-country tax and compliance in version one; multi-jurisdiction tax is priced separately.</w:t>
      </w:r>
    </w:p>
    <w:p>
      <w:pPr>
        <w:pStyle w:val="ListNumber"/>
        <w:spacing w:after="80"/>
      </w:pPr>
      <w:r>
        <w:rPr>
          <w:rFonts w:ascii="Georgia" w:hAnsi="Georgia"/>
          <w:sz w:val="21"/>
        </w:rPr>
        <w:t>Third-party services (SMS, email, payments, VIN decoding) are procured separately and are not in the build cost.</w:t>
      </w:r>
    </w:p>
    <w:p>
      <w:pPr>
        <w:pStyle w:val="ListNumber"/>
        <w:spacing w:after="80"/>
      </w:pPr>
      <w:r>
        <w:rPr>
          <w:rFonts w:ascii="Georgia" w:hAnsi="Georgia"/>
          <w:sz w:val="21"/>
        </w:rPr>
        <w:t>Migration from an incumbent system is a professional-services engagement, not product work.</w:t>
      </w:r>
    </w:p>
    <w:p>
      <w:pPr>
        <w:pStyle w:val="Heading3"/>
      </w:pPr>
      <w:r>
        <w:t>What you receive at each phase</w:t>
      </w:r>
    </w:p>
    <w:p>
      <w:pPr>
        <w:pStyle w:val="ListNumber"/>
        <w:spacing w:after="80"/>
      </w:pPr>
      <w:r>
        <w:rPr>
          <w:rFonts w:ascii="Georgia" w:hAnsi="Georgia"/>
          <w:sz w:val="21"/>
        </w:rPr>
        <w:t>Running software deployed to staging and production, source under an MIT licence.</w:t>
      </w:r>
    </w:p>
    <w:p>
      <w:pPr>
        <w:pStyle w:val="ListNumber"/>
        <w:spacing w:after="80"/>
      </w:pPr>
      <w:r>
        <w:rPr>
          <w:rFonts w:ascii="Georgia" w:hAnsi="Georgia"/>
          <w:sz w:val="21"/>
        </w:rPr>
        <w:t>Passing test suites with coverage reporting, and the pipeline that enforces them.</w:t>
      </w:r>
    </w:p>
    <w:p>
      <w:pPr>
        <w:pStyle w:val="ListNumber"/>
        <w:spacing w:after="80"/>
      </w:pPr>
      <w:r>
        <w:rPr>
          <w:rFonts w:ascii="Georgia" w:hAnsi="Georgia"/>
          <w:sz w:val="21"/>
        </w:rPr>
        <w:t>Complete documentation: requirements, domain model, data model, architecture, API contract, design system, operational runbook.</w:t>
      </w:r>
    </w:p>
    <w:p>
      <w:pPr>
        <w:pStyle w:val="ListNumber"/>
        <w:spacing w:after="80"/>
      </w:pPr>
      <w:r>
        <w:rPr>
          <w:rFonts w:ascii="Georgia" w:hAnsi="Georgia"/>
          <w:sz w:val="21"/>
        </w:rPr>
        <w:t>Architecture decision records explaining not just what was built, but what was rejected and why.</w:t>
      </w:r>
    </w:p>
    <w:p>
      <w:pPr>
        <w:pStyle w:val="ListNumber"/>
        <w:spacing w:after="80"/>
      </w:pPr>
      <w:r>
        <w:rPr>
          <w:rFonts w:ascii="Georgia" w:hAnsi="Georgia"/>
          <w:sz w:val="21"/>
        </w:rPr>
        <w:t>A demonstration against written acceptance criteria agreed before the work started.</w:t>
      </w:r>
    </w:p>
    <w:p>
      <w:r>
        <w:br w:type="page"/>
      </w:r>
    </w:p>
    <w:p>
      <w:pPr>
        <w:pStyle w:val="Heading1"/>
      </w:pPr>
      <w:r>
        <w:t>09  Business model</w:t>
      </w:r>
    </w:p>
    <w:p>
      <w:pPr>
        <w:pBdr>
          <w:bottom w:val="single" w:sz="12" w:color="0D3B3F"/>
        </w:pBdr>
        <w:spacing w:after="200"/>
      </w:pPr>
    </w:p>
    <w:p>
      <w:pPr>
        <w:spacing w:after="160"/>
      </w:pPr>
      <w:r>
        <w:rPr>
          <w:rFonts w:ascii="Georgia" w:hAnsi="Georgia"/>
          <w:b w:val="0"/>
          <w:i w:val="0"/>
          <w:color w:val="101718"/>
          <w:sz w:val="21"/>
        </w:rPr>
        <w:t>Two revenue lines, one build. The subscription funds the company; the passport is what makes the company valuable.</w:t>
      </w:r>
    </w:p>
    <w:p>
      <w:pPr>
        <w:keepNext/>
        <w:spacing w:after="60"/>
      </w:pPr>
      <w:r>
        <w:rPr>
          <w:rFonts w:ascii="Arial" w:hAnsi="Arial"/>
          <w:b/>
          <w:i w:val="0"/>
          <w:color w:val="6B7878"/>
          <w:sz w:val="15"/>
        </w:rPr>
        <w:t>WORKSHOP SUBSCRIPTION, PER BAY PER MONTH</w:t>
      </w:r>
    </w:p>
    <w:p>
      <w:pPr>
        <w:spacing w:after="80"/>
      </w:pPr>
    </w:p>
    <w:p>
      <w:pPr>
        <w:spacing w:after="160"/>
      </w:pPr>
      <w:r>
        <w:rPr>
          <w:rFonts w:ascii="Georgia" w:hAnsi="Georgia"/>
          <w:b w:val="0"/>
          <w:i w:val="0"/>
          <w:color w:val="101718"/>
          <w:sz w:val="21"/>
        </w:rPr>
        <w:t>Pricing is per bay rather than per user, because bays correlate with capacity while user count punishes a workshop for giving staff access, the opposite of what we want. The customer portal and passport writing sit in the cheapest tier deliberately: restricting them would throttle the network we are trying to grow, to protect revenue we have not earned.</w:t>
      </w:r>
    </w:p>
    <w:p>
      <w:pPr>
        <w:keepNext/>
        <w:spacing w:after="60"/>
      </w:pPr>
      <w:r>
        <w:rPr>
          <w:rFonts w:ascii="Arial" w:hAnsi="Arial"/>
          <w:b/>
          <w:i w:val="0"/>
          <w:color w:val="6B7878"/>
          <w:sz w:val="15"/>
        </w:rPr>
        <w:t>PASSPORT PRICING</w:t>
      </w:r>
    </w:p>
    <w:p>
      <w:pPr>
        <w:spacing w:after="80"/>
      </w:pPr>
    </w:p>
    <w:p>
      <w:pPr>
        <w:pStyle w:val="Heading3"/>
      </w:pPr>
      <w:r>
        <w:t>Unit economics</w:t>
      </w:r>
    </w:p>
    <w:p>
      <w:pPr>
        <w:spacing w:after="160"/>
      </w:pPr>
      <w:r>
        <w:rPr>
          <w:rFonts w:ascii="Georgia" w:hAnsi="Georgia"/>
          <w:b w:val="0"/>
          <w:i w:val="0"/>
          <w:color w:val="101718"/>
          <w:sz w:val="21"/>
        </w:rPr>
        <w:t>Modelled on a six-bay workshop on Complete at GBP 414 per month.</w:t>
      </w:r>
    </w:p>
    <w:p>
      <w:pPr>
        <w:keepNext/>
        <w:spacing w:after="60"/>
      </w:pPr>
      <w:r>
        <w:rPr>
          <w:rFonts w:ascii="Arial" w:hAnsi="Arial"/>
          <w:b/>
          <w:i w:val="0"/>
          <w:color w:val="6B7878"/>
          <w:sz w:val="15"/>
        </w:rPr>
        <w:t>UNIT ECONOMICS</w:t>
      </w:r>
    </w:p>
    <w:p>
      <w:pPr>
        <w:spacing w:after="80"/>
      </w:pPr>
    </w:p>
    <w:p>
      <w:pPr>
        <w:spacing w:after="80"/>
      </w:pPr>
    </w:p>
    <w:p>
      <w:pPr>
        <w:pStyle w:val="Heading3"/>
      </w:pPr>
      <w:r>
        <w:t>Go to market</w:t>
      </w:r>
    </w:p>
    <w:p>
      <w:pPr>
        <w:pStyle w:val="ListNumber"/>
        <w:spacing w:after="80"/>
      </w:pPr>
      <w:r>
        <w:rPr>
          <w:rFonts w:ascii="Georgia" w:hAnsi="Georgia"/>
          <w:b/>
          <w:sz w:val="21"/>
        </w:rPr>
        <w:t xml:space="preserve">Months 1 to 6, design partners. </w:t>
      </w:r>
      <w:r>
        <w:rPr>
          <w:rFonts w:ascii="Georgia" w:hAnsi="Georgia"/>
          <w:sz w:val="21"/>
        </w:rPr>
        <w:t>Two workshops, free, in exchange for access and honesty. We are buying product truth, not revenue.</w:t>
      </w:r>
    </w:p>
    <w:p>
      <w:pPr>
        <w:pStyle w:val="ListNumber"/>
        <w:spacing w:after="80"/>
      </w:pPr>
      <w:r>
        <w:rPr>
          <w:rFonts w:ascii="Georgia" w:hAnsi="Georgia"/>
          <w:b/>
          <w:sz w:val="21"/>
        </w:rPr>
        <w:t xml:space="preserve">Months 5 to 12, local density. </w:t>
      </w:r>
      <w:r>
        <w:rPr>
          <w:rFonts w:ascii="Georgia" w:hAnsi="Georgia"/>
          <w:sz w:val="21"/>
        </w:rPr>
        <w:t>Sell within one geography until vehicles start arriving with history already attached. That moment, a workshop opening a car it has never seen and finding three years of records, is the product demonstrating itself. Density beats breadth.</w:t>
      </w:r>
    </w:p>
    <w:p>
      <w:pPr>
        <w:pStyle w:val="ListNumber"/>
        <w:spacing w:after="80"/>
      </w:pPr>
      <w:r>
        <w:rPr>
          <w:rFonts w:ascii="Georgia" w:hAnsi="Georgia"/>
          <w:b/>
          <w:sz w:val="21"/>
        </w:rPr>
        <w:t xml:space="preserve">Months 12 to 24, owner pull. </w:t>
      </w:r>
      <w:r>
        <w:rPr>
          <w:rFonts w:ascii="Georgia" w:hAnsi="Georgia"/>
          <w:sz w:val="21"/>
        </w:rPr>
        <w:t>Once passports have content, market to owners. An owner who values their vehicle's history asks their workshop for it, converting workshops far more cheaply than outbound sales.</w:t>
      </w:r>
    </w:p>
    <w:p>
      <w:pPr>
        <w:pStyle w:val="ListNumber"/>
        <w:spacing w:after="80"/>
      </w:pPr>
      <w:r>
        <w:rPr>
          <w:rFonts w:ascii="Georgia" w:hAnsi="Georgia"/>
          <w:b/>
          <w:sz w:val="21"/>
        </w:rPr>
        <w:t xml:space="preserve">Months 24 onward, the trade. </w:t>
      </w:r>
      <w:r>
        <w:rPr>
          <w:rFonts w:ascii="Georgia" w:hAnsi="Georgia"/>
          <w:sz w:val="21"/>
        </w:rPr>
        <w:t>Dealers, auctions, insurers, finance. They pay most and need least support, but only once coverage is real.</w:t>
      </w:r>
    </w:p>
    <w:p>
      <w:r>
        <w:br w:type="page"/>
      </w:r>
    </w:p>
    <w:p>
      <w:pPr>
        <w:pStyle w:val="Heading1"/>
      </w:pPr>
      <w:r>
        <w:t>10  Risks</w:t>
      </w:r>
    </w:p>
    <w:p>
      <w:pPr>
        <w:pBdr>
          <w:bottom w:val="single" w:sz="12" w:color="0D3B3F"/>
        </w:pBdr>
        <w:spacing w:after="200"/>
      </w:pPr>
    </w:p>
    <w:p>
      <w:pPr>
        <w:spacing w:after="160"/>
      </w:pPr>
      <w:r>
        <w:rPr>
          <w:rFonts w:ascii="Georgia" w:hAnsi="Georgia"/>
          <w:b w:val="0"/>
          <w:i w:val="0"/>
          <w:color w:val="101718"/>
          <w:sz w:val="21"/>
        </w:rPr>
        <w:t>The five that could actually derail this, with the mitigation each carries.</w:t>
      </w:r>
    </w:p>
    <w:p>
      <w:pPr>
        <w:keepNext/>
        <w:spacing w:after="60"/>
      </w:pPr>
      <w:r>
        <w:rPr>
          <w:rFonts w:ascii="Arial" w:hAnsi="Arial"/>
          <w:b/>
          <w:i w:val="0"/>
          <w:color w:val="6B7878"/>
          <w:sz w:val="15"/>
        </w:rPr>
        <w:t>PRINCIPAL RISKS</w:t>
      </w:r>
    </w:p>
    <w:p>
      <w:pPr>
        <w:spacing w:after="80"/>
      </w:pPr>
    </w:p>
    <w:p>
      <w:pPr>
        <w:pStyle w:val="Heading3"/>
      </w:pPr>
      <w:r>
        <w:t>What would make the business model wrong</w:t>
      </w:r>
    </w:p>
    <w:p>
      <w:pPr>
        <w:keepNext/>
        <w:spacing w:after="60"/>
      </w:pPr>
      <w:r>
        <w:rPr>
          <w:rFonts w:ascii="Arial" w:hAnsi="Arial"/>
          <w:b/>
          <w:i w:val="0"/>
          <w:color w:val="6B7878"/>
          <w:sz w:val="15"/>
        </w:rPr>
        <w:t>ASSUMPTIONS UNDER TEST</w:t>
      </w:r>
    </w:p>
    <w:p>
      <w:pPr>
        <w:spacing w:after="80"/>
      </w:pPr>
    </w:p>
    <w:p>
      <w:pPr>
        <w:spacing w:after="160"/>
      </w:pPr>
      <w:r>
        <w:rPr>
          <w:rFonts w:ascii="Georgia" w:hAnsi="Georgia"/>
          <w:b w:val="0"/>
          <w:i w:val="0"/>
          <w:color w:val="101718"/>
          <w:sz w:val="21"/>
        </w:rPr>
        <w:t>The last is the one to watch early. It is a belief about attitude rather than software, and it is cheap to test in conversation long before it is expensive to discover in the market.</w:t>
      </w:r>
    </w:p>
    <w:p>
      <w:r>
        <w:br w:type="page"/>
      </w:r>
    </w:p>
    <w:p>
      <w:pPr>
        <w:pStyle w:val="Heading1"/>
      </w:pPr>
      <w:r>
        <w:t>11  References and sources</w:t>
      </w:r>
    </w:p>
    <w:p>
      <w:pPr>
        <w:pBdr>
          <w:bottom w:val="single" w:sz="12" w:color="0D3B3F"/>
        </w:pBdr>
        <w:spacing w:after="200"/>
      </w:pPr>
    </w:p>
    <w:p>
      <w:pPr>
        <w:spacing w:after="160"/>
      </w:pPr>
      <w:r>
        <w:rPr>
          <w:rFonts w:ascii="Georgia" w:hAnsi="Georgia"/>
          <w:b w:val="0"/>
          <w:i w:val="0"/>
          <w:color w:val="101718"/>
          <w:sz w:val="21"/>
        </w:rPr>
        <w:t>Where a claim in this document rests on something external, it is listed here. Where a figure is an internal estimate rather than a measured quantity, it is labelled as such in the text.</w:t>
      </w:r>
    </w:p>
    <w:p>
      <w:pPr>
        <w:spacing w:after="40"/>
      </w:pPr>
      <w:r>
        <w:rPr>
          <w:rFonts w:ascii="Consolas" w:hAnsi="Consolas"/>
          <w:b/>
          <w:color w:val="9A6D24"/>
          <w:sz w:val="18"/>
        </w:rPr>
        <w:t xml:space="preserve">[1]  </w:t>
      </w:r>
      <w:r>
        <w:rPr>
          <w:rFonts w:ascii="Georgia" w:hAnsi="Georgia"/>
          <w:sz w:val="19"/>
        </w:rPr>
        <w:t>MechanicDesk product navigation, feature set and job data model, verified directly inside the application.</w:t>
      </w:r>
    </w:p>
    <w:p>
      <w:pPr>
        <w:spacing w:after="160"/>
        <w:ind w:left="567"/>
      </w:pPr>
      <w:r>
        <w:rPr>
          <w:rFonts w:ascii="Georgia" w:hAnsi="Georgia"/>
          <w:i/>
          <w:color w:val="6B7878"/>
          <w:sz w:val="17"/>
        </w:rPr>
        <w:t>mechanicdesk.com.au — accessed 9 September 2026. Basis for the comparison in section 06.</w:t>
      </w:r>
    </w:p>
    <w:p>
      <w:pPr>
        <w:spacing w:after="40"/>
      </w:pPr>
      <w:r>
        <w:rPr>
          <w:rFonts w:ascii="Consolas" w:hAnsi="Consolas"/>
          <w:b/>
          <w:color w:val="9A6D24"/>
          <w:sz w:val="18"/>
        </w:rPr>
        <w:t xml:space="preserve">[2]  </w:t>
      </w:r>
      <w:r>
        <w:rPr>
          <w:rFonts w:ascii="Georgia" w:hAnsi="Georgia"/>
          <w:sz w:val="19"/>
        </w:rPr>
        <w:t>MechanicDesk public feature listing.</w:t>
      </w:r>
    </w:p>
    <w:p>
      <w:pPr>
        <w:spacing w:after="160"/>
        <w:ind w:left="567"/>
      </w:pPr>
      <w:r>
        <w:rPr>
          <w:rFonts w:ascii="Georgia" w:hAnsi="Georgia"/>
          <w:i/>
          <w:color w:val="6B7878"/>
          <w:sz w:val="17"/>
        </w:rPr>
        <w:t>mechanicdesk.com.au/features — accessed 9 September 2026.</w:t>
      </w:r>
    </w:p>
    <w:p>
      <w:pPr>
        <w:spacing w:after="40"/>
      </w:pPr>
      <w:r>
        <w:rPr>
          <w:rFonts w:ascii="Consolas" w:hAnsi="Consolas"/>
          <w:b/>
          <w:color w:val="9A6D24"/>
          <w:sz w:val="18"/>
        </w:rPr>
        <w:t xml:space="preserve">[3]  </w:t>
      </w:r>
      <w:r>
        <w:rPr>
          <w:rFonts w:ascii="Georgia" w:hAnsi="Georgia"/>
          <w:sz w:val="19"/>
        </w:rPr>
        <w:t>ISO 3779 and FMVSS 115 — vehicle identification number structure, transliteration table and check-digit algorithm.</w:t>
      </w:r>
    </w:p>
    <w:p>
      <w:pPr>
        <w:spacing w:after="160"/>
        <w:ind w:left="567"/>
      </w:pPr>
      <w:r>
        <w:rPr>
          <w:rFonts w:ascii="Georgia" w:hAnsi="Georgia"/>
          <w:i/>
          <w:color w:val="6B7878"/>
          <w:sz w:val="17"/>
        </w:rPr>
        <w:t>Implemented and unit-tested in the VIN module. Governs the check-digit behaviour described in section 03.</w:t>
      </w:r>
    </w:p>
    <w:p>
      <w:pPr>
        <w:spacing w:after="40"/>
      </w:pPr>
      <w:r>
        <w:rPr>
          <w:rFonts w:ascii="Consolas" w:hAnsi="Consolas"/>
          <w:b/>
          <w:color w:val="9A6D24"/>
          <w:sz w:val="18"/>
        </w:rPr>
        <w:t xml:space="preserve">[4]  </w:t>
      </w:r>
      <w:r>
        <w:rPr>
          <w:rFonts w:ascii="Georgia" w:hAnsi="Georgia"/>
          <w:sz w:val="19"/>
        </w:rPr>
        <w:t>Minimum legal tyre tread depth of 1.6 mm across the majority of European jurisdictions; 3 mm as the widely accepted safety advisory threshold.</w:t>
      </w:r>
    </w:p>
    <w:p>
      <w:pPr>
        <w:spacing w:after="160"/>
        <w:ind w:left="567"/>
      </w:pPr>
      <w:r>
        <w:rPr>
          <w:rFonts w:ascii="Georgia" w:hAnsi="Georgia"/>
          <w:i/>
          <w:color w:val="6B7878"/>
          <w:sz w:val="17"/>
        </w:rPr>
        <w:t>Encoded as named constants in the inspection module so the reasoning is inspectable rather than buried in a comparison.</w:t>
      </w:r>
    </w:p>
    <w:p>
      <w:pPr>
        <w:spacing w:after="40"/>
      </w:pPr>
      <w:r>
        <w:rPr>
          <w:rFonts w:ascii="Consolas" w:hAnsi="Consolas"/>
          <w:b/>
          <w:color w:val="9A6D24"/>
          <w:sz w:val="18"/>
        </w:rPr>
        <w:t xml:space="preserve">[5]  </w:t>
      </w:r>
      <w:r>
        <w:rPr>
          <w:rFonts w:ascii="Georgia" w:hAnsi="Georgia"/>
          <w:sz w:val="19"/>
        </w:rPr>
        <w:t>Sequential, gapless invoice numbering as a statutory requirement in several jurisdictions.</w:t>
      </w:r>
    </w:p>
    <w:p>
      <w:pPr>
        <w:spacing w:after="160"/>
        <w:ind w:left="567"/>
      </w:pPr>
      <w:r>
        <w:rPr>
          <w:rFonts w:ascii="Georgia" w:hAnsi="Georgia"/>
          <w:i/>
          <w:color w:val="6B7878"/>
          <w:sz w:val="17"/>
        </w:rPr>
        <w:t>Drives the decision to use a locked counter row rather than a database sequence, which leaves gaps on rollback.</w:t>
      </w:r>
    </w:p>
    <w:p>
      <w:pPr>
        <w:spacing w:after="40"/>
      </w:pPr>
      <w:r>
        <w:rPr>
          <w:rFonts w:ascii="Consolas" w:hAnsi="Consolas"/>
          <w:b/>
          <w:color w:val="9A6D24"/>
          <w:sz w:val="18"/>
        </w:rPr>
        <w:t xml:space="preserve">[6]  </w:t>
      </w:r>
      <w:r>
        <w:rPr>
          <w:rFonts w:ascii="Georgia" w:hAnsi="Georgia"/>
          <w:sz w:val="19"/>
        </w:rPr>
        <w:t>Statutory retention of financial records, minimum seven years.</w:t>
      </w:r>
    </w:p>
    <w:p>
      <w:pPr>
        <w:spacing w:after="160"/>
        <w:ind w:left="567"/>
      </w:pPr>
      <w:r>
        <w:rPr>
          <w:rFonts w:ascii="Georgia" w:hAnsi="Georgia"/>
          <w:i/>
          <w:color w:val="6B7878"/>
          <w:sz w:val="17"/>
        </w:rPr>
        <w:t>Non-functional requirement NFR-903.</w:t>
      </w:r>
    </w:p>
    <w:p>
      <w:pPr>
        <w:spacing w:after="40"/>
      </w:pPr>
      <w:r>
        <w:rPr>
          <w:rFonts w:ascii="Consolas" w:hAnsi="Consolas"/>
          <w:b/>
          <w:color w:val="9A6D24"/>
          <w:sz w:val="18"/>
        </w:rPr>
        <w:t xml:space="preserve">[7]  </w:t>
      </w:r>
      <w:r>
        <w:rPr>
          <w:rFonts w:ascii="Georgia" w:hAnsi="Georgia"/>
          <w:sz w:val="19"/>
        </w:rPr>
        <w:t>WCAG 2.2 Level AA.</w:t>
      </w:r>
    </w:p>
    <w:p>
      <w:pPr>
        <w:spacing w:after="160"/>
        <w:ind w:left="567"/>
      </w:pPr>
      <w:r>
        <w:rPr>
          <w:rFonts w:ascii="Georgia" w:hAnsi="Georgia"/>
          <w:i/>
          <w:color w:val="6B7878"/>
          <w:sz w:val="17"/>
        </w:rPr>
        <w:t>Accessibility conformance target for all four interface surfaces.</w:t>
      </w:r>
    </w:p>
    <w:p>
      <w:pPr>
        <w:spacing w:after="40"/>
      </w:pPr>
      <w:r>
        <w:rPr>
          <w:rFonts w:ascii="Consolas" w:hAnsi="Consolas"/>
          <w:b/>
          <w:color w:val="9A6D24"/>
          <w:sz w:val="18"/>
        </w:rPr>
        <w:t xml:space="preserve">[8]  </w:t>
      </w:r>
      <w:r>
        <w:rPr>
          <w:rFonts w:ascii="Georgia" w:hAnsi="Georgia"/>
          <w:sz w:val="19"/>
        </w:rPr>
        <w:t>Carnet project repository — full requirements, domain model, data model, architecture decision records, design system and test strategy.</w:t>
      </w:r>
    </w:p>
    <w:p>
      <w:pPr>
        <w:spacing w:after="160"/>
        <w:ind w:left="567"/>
      </w:pPr>
      <w:r>
        <w:rPr>
          <w:rFonts w:ascii="Georgia" w:hAnsi="Georgia"/>
          <w:i/>
          <w:color w:val="6B7878"/>
          <w:sz w:val="17"/>
        </w:rPr>
        <w:t>Repository vehicle-memory. This document summarises material held there in full.</w:t>
      </w:r>
    </w:p>
    <w:p>
      <w:pPr>
        <w:pStyle w:val="Heading3"/>
      </w:pPr>
      <w:r>
        <w:t>A note on figures</w:t>
      </w:r>
    </w:p>
    <w:p>
      <w:pPr>
        <w:spacing w:after="160"/>
      </w:pPr>
      <w:r>
        <w:rPr>
          <w:rFonts w:ascii="Georgia" w:hAnsi="Georgia"/>
          <w:b w:val="0"/>
          <w:i w:val="0"/>
          <w:color w:val="101718"/>
          <w:sz w:val="21"/>
        </w:rPr>
        <w:t>Market sizing has not been commissioned and is not claimed. Cost and timeline figures are estimates built from the team shape in section 08 at a blended rate of GBP 550 per person-day. Unit economics in section 09 are a model, not a measurement, and the churn assumption on which they most depend is named explicitly as a risk.</w:t>
      </w:r>
    </w:p>
    <w:p>
      <w:r>
        <w:br w:type="page"/>
      </w:r>
    </w:p>
    <w:p>
      <w:pPr>
        <w:pStyle w:val="Heading1"/>
      </w:pPr>
      <w:r>
        <w:t>12  Approval</w:t>
      </w:r>
    </w:p>
    <w:p>
      <w:pPr>
        <w:pBdr>
          <w:bottom w:val="single" w:sz="12" w:color="0D3B3F"/>
        </w:pBdr>
        <w:spacing w:after="200"/>
      </w:pPr>
    </w:p>
    <w:p>
      <w:pPr>
        <w:spacing w:after="160"/>
      </w:pPr>
      <w:r>
        <w:rPr>
          <w:rFonts w:ascii="Georgia" w:hAnsi="Georgia"/>
          <w:b w:val="0"/>
          <w:i w:val="0"/>
          <w:color w:val="101718"/>
          <w:sz w:val="21"/>
        </w:rPr>
        <w:t>Approval of this proposal authorises mobilisation and Phase 1. Phases 2 and 3 are re-confirmed at their respective gates, at which point either party may stop with no obligation beyond work completed.</w:t>
      </w:r>
    </w:p>
    <w:p>
      <w:pPr>
        <w:keepNext/>
        <w:spacing w:after="60"/>
      </w:pPr>
      <w:r>
        <w:rPr>
          <w:rFonts w:ascii="Arial" w:hAnsi="Arial"/>
          <w:b/>
          <w:i w:val="0"/>
          <w:color w:val="6B7878"/>
          <w:sz w:val="15"/>
        </w:rPr>
        <w:t>SIGNATURES</w:t>
      </w:r>
    </w:p>
    <w:p>
      <w:pPr>
        <w:spacing w:after="80"/>
      </w:pPr>
    </w:p>
    <w:p>
      <w:pPr>
        <w:pStyle w:val="Heading3"/>
      </w:pPr>
      <w:r>
        <w:t>Contact</w:t>
      </w:r>
    </w:p>
    <w:p>
      <w:pPr>
        <w:spacing w:after="40"/>
      </w:pPr>
      <w:r>
        <w:rPr>
          <w:rFonts w:ascii="Georgia" w:hAnsi="Georgia"/>
          <w:b/>
          <w:i w:val="0"/>
          <w:color w:val="101718"/>
          <w:sz w:val="21"/>
        </w:rPr>
        <w:t>Amr Hefny</w:t>
      </w:r>
    </w:p>
    <w:p>
      <w:pPr>
        <w:spacing w:after="40"/>
      </w:pPr>
      <w:r>
        <w:rPr>
          <w:rFonts w:ascii="Georgia" w:hAnsi="Georgia"/>
          <w:b w:val="0"/>
          <w:i w:val="0"/>
          <w:color w:val="101718"/>
          <w:sz w:val="21"/>
        </w:rPr>
        <w:t>hefnyamr@rocketmail.com</w:t>
      </w:r>
    </w:p>
    <w:p>
      <w:pPr>
        <w:spacing w:after="40"/>
      </w:pPr>
      <w:r>
        <w:rPr>
          <w:rFonts w:ascii="Georgia" w:hAnsi="Georgia"/>
          <w:b w:val="0"/>
          <w:i w:val="0"/>
          <w:color w:val="101718"/>
          <w:sz w:val="21"/>
        </w:rPr>
        <w:t>+1 514 553 4360</w:t>
      </w:r>
    </w:p>
    <w:p>
      <w:pPr>
        <w:pStyle w:val="Heading1"/>
      </w:pPr>
      <w:r>
        <w:rPr>
          <w:color w:val="1A4D52"/>
        </w:rPr>
        <w:t>13  Build status</w:t>
      </w:r>
    </w:p>
    <w:p>
      <w:pPr>
        <w:spacing w:after="160"/>
      </w:pPr>
      <w:r>
        <w:rPr>
          <w:i/>
          <w:color w:val="535E60"/>
          <w:sz w:val="21"/>
        </w:rPr>
        <w:t>Counted from the repository on 29 September 2026. This section is generated by infra/scripts/update-business-case.py and rewritten each time the product changes. Everything above it is written by hand.</w:t>
      </w:r>
    </w:p>
    <w:tbl>
      <w:tblPr>
        <w:tblStyle w:val="LightGrid-Accent1"/>
        <w:tblW w:type="auto" w:w="0"/>
        <w:tblLook w:firstColumn="1" w:firstRow="1" w:lastColumn="0" w:lastRow="0" w:noHBand="0" w:noVBand="1" w:val="04A0"/>
      </w:tblPr>
      <w:tblGrid>
        <w:gridCol w:w="4759"/>
        <w:gridCol w:w="4759"/>
      </w:tblGrid>
      <w:tr>
        <w:tc>
          <w:tcPr>
            <w:tcW w:type="dxa" w:w="4759"/>
          </w:tcPr>
          <w:p>
            <w:r>
              <w:t>Measure</w:t>
            </w:r>
          </w:p>
        </w:tc>
        <w:tc>
          <w:tcPr>
            <w:tcW w:type="dxa" w:w="4759"/>
          </w:tcPr>
          <w:p>
            <w:r>
              <w:t>Now</w:t>
            </w:r>
          </w:p>
        </w:tc>
      </w:tr>
      <w:tr>
        <w:tc>
          <w:tcPr>
            <w:tcW w:type="dxa" w:w="4759"/>
          </w:tcPr>
          <w:p>
            <w:r>
              <w:t>Pages in the application</w:t>
            </w:r>
          </w:p>
        </w:tc>
        <w:tc>
          <w:tcPr>
            <w:tcW w:type="dxa" w:w="4759"/>
          </w:tcPr>
          <w:p>
            <w:pPr>
              <w:jc w:val="right"/>
            </w:pPr>
            <w:r>
              <w:t>134</w:t>
            </w:r>
          </w:p>
        </w:tc>
      </w:tr>
      <w:tr>
        <w:tc>
          <w:tcPr>
            <w:tcW w:type="dxa" w:w="4759"/>
          </w:tcPr>
          <w:p>
            <w:r>
              <w:t>Database tables</w:t>
            </w:r>
          </w:p>
        </w:tc>
        <w:tc>
          <w:tcPr>
            <w:tcW w:type="dxa" w:w="4759"/>
          </w:tcPr>
          <w:p>
            <w:pPr>
              <w:jc w:val="right"/>
            </w:pPr>
            <w:r>
              <w:t>167</w:t>
            </w:r>
          </w:p>
        </w:tc>
      </w:tr>
      <w:tr>
        <w:tc>
          <w:tcPr>
            <w:tcW w:type="dxa" w:w="4759"/>
          </w:tcPr>
          <w:p>
            <w:r>
              <w:t>Domain tests</w:t>
            </w:r>
          </w:p>
        </w:tc>
        <w:tc>
          <w:tcPr>
            <w:tcW w:type="dxa" w:w="4759"/>
          </w:tcPr>
          <w:p>
            <w:pPr>
              <w:jc w:val="right"/>
            </w:pPr>
            <w:r>
              <w:t>0</w:t>
            </w:r>
          </w:p>
        </w:tc>
      </w:tr>
      <w:tr>
        <w:tc>
          <w:tcPr>
            <w:tcW w:type="dxa" w:w="4759"/>
          </w:tcPr>
          <w:p>
            <w:r>
              <w:t>Database invariant probes</w:t>
            </w:r>
          </w:p>
        </w:tc>
        <w:tc>
          <w:tcPr>
            <w:tcW w:type="dxa" w:w="4759"/>
          </w:tcPr>
          <w:p>
            <w:pPr>
              <w:jc w:val="right"/>
            </w:pPr>
            <w:r>
              <w:t>98</w:t>
            </w:r>
          </w:p>
        </w:tc>
      </w:tr>
      <w:tr>
        <w:tc>
          <w:tcPr>
            <w:tcW w:type="dxa" w:w="4759"/>
          </w:tcPr>
          <w:p>
            <w:r>
              <w:t>Functional requirements</w:t>
            </w:r>
          </w:p>
        </w:tc>
        <w:tc>
          <w:tcPr>
            <w:tcW w:type="dxa" w:w="4759"/>
          </w:tcPr>
          <w:p>
            <w:pPr>
              <w:jc w:val="right"/>
            </w:pPr>
            <w:r>
              <w:t>879</w:t>
            </w:r>
          </w:p>
        </w:tc>
      </w:tr>
      <w:tr>
        <w:tc>
          <w:tcPr>
            <w:tcW w:type="dxa" w:w="4759"/>
          </w:tcPr>
          <w:p>
            <w:r>
              <w:t>Capabilities built</w:t>
            </w:r>
          </w:p>
        </w:tc>
        <w:tc>
          <w:tcPr>
            <w:tcW w:type="dxa" w:w="4759"/>
          </w:tcPr>
          <w:p>
            <w:pPr>
              <w:jc w:val="right"/>
            </w:pPr>
            <w:r>
              <w:t>463 of 465</w:t>
            </w:r>
          </w:p>
        </w:tc>
      </w:tr>
      <w:tr>
        <w:tc>
          <w:tcPr>
            <w:tcW w:type="dxa" w:w="4759"/>
          </w:tcPr>
          <w:p>
            <w:r>
              <w:t>Capabilities partial</w:t>
            </w:r>
          </w:p>
        </w:tc>
        <w:tc>
          <w:tcPr>
            <w:tcW w:type="dxa" w:w="4759"/>
          </w:tcPr>
          <w:p>
            <w:pPr>
              <w:jc w:val="right"/>
            </w:pPr>
            <w:r>
              <w:t>2</w:t>
            </w:r>
          </w:p>
        </w:tc>
      </w:tr>
      <w:tr>
        <w:tc>
          <w:tcPr>
            <w:tcW w:type="dxa" w:w="4759"/>
          </w:tcPr>
          <w:p>
            <w:r>
              <w:t>Capabilities not yet built</w:t>
            </w:r>
          </w:p>
        </w:tc>
        <w:tc>
          <w:tcPr>
            <w:tcW w:type="dxa" w:w="4759"/>
          </w:tcPr>
          <w:p>
            <w:pPr>
              <w:jc w:val="right"/>
            </w:pPr>
            <w:r>
              <w:t>0</w:t>
            </w:r>
          </w:p>
        </w:tc>
      </w:tr>
    </w:tbl>
    <w:p/>
    <w:p>
      <w:pPr>
        <w:pStyle w:val="Heading3"/>
      </w:pPr>
      <w:r>
        <w:rPr>
          <w:color w:val="1A4D52"/>
        </w:rPr>
        <w:t>What is complete</w:t>
      </w:r>
    </w:p>
    <w:p>
      <w:pPr>
        <w:spacing w:after="160"/>
      </w:pPr>
      <w:r>
        <w:rPr>
          <w:i w:val="0"/>
          <w:color w:val="535E60"/>
          <w:sz w:val="21"/>
        </w:rPr>
        <w:t>Jobs and the diary, customers and vehicles, the tamper-evident passport, estimates approved line by line, invoicing and payments, inventory with weighted average cost, purchasing with three-way match, a double-entry ledger posting from the work itself, bank reconciliation and period close, people with dated pay rates and productivity, multiple sites with stock transfers, counter sales, expenses, the automation engine, CRM with per-channel consent, the customer portal, and outbound messaging.</w:t>
      </w:r>
    </w:p>
    <w:p>
      <w:pPr>
        <w:pStyle w:val="Heading3"/>
      </w:pPr>
      <w:r>
        <w:rPr>
          <w:color w:val="1A4D52"/>
        </w:rPr>
        <w:t>What is deliberately absent</w:t>
      </w:r>
    </w:p>
    <w:p>
      <w:pPr>
        <w:spacing w:after="160"/>
      </w:pPr>
      <w:r>
        <w:rPr>
          <w:i w:val="0"/>
          <w:color w:val="535E60"/>
          <w:sz w:val="21"/>
        </w:rPr>
        <w:t>Card payment waits on a payment provider. Payroll export waits on a named target format. Parts fitment waits on a data source, because guessing it puts wrong parts on cars. Suggesting a diagnosis from symptoms waits on a corpus that does not exist yet, and a confident wrong suggestion on a braking fault is not a small error. Each of these is absent rather than approximated, on the grounds that a feature nobody can trust is worse than one that is honestly missing.</w:t>
      </w:r>
    </w:p>
    <w:p>
      <w:pPr>
        <w:pStyle w:val="Heading3"/>
      </w:pPr>
      <w:r>
        <w:rPr>
          <w:color w:val="1A4D52"/>
        </w:rPr>
        <w:t>What is scheduled</w:t>
      </w:r>
    </w:p>
    <w:p>
      <w:pPr>
        <w:spacing w:after="160"/>
      </w:pPr>
      <w:r>
        <w:rPr>
          <w:i w:val="0"/>
          <w:color w:val="535E60"/>
          <w:sz w:val="21"/>
        </w:rPr>
        <w:t>Phases 7 to 12, ordered by what a workshop loses each day without them. The digital vehicle inspection is first: six tables already exist and no interface does, and an inspection is what turns a booked oil change into approved brake work. Then the calendar and the bay board, then warranty and fleet, then reviews and loyalty and the inbound inbox, then the remaining accounting gaps, and last the owner command centre.</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B7878"/>
        <w:sz w:val="14"/>
      </w:rPr>
      <w:t>Carnet — Business Case &amp; Commercial Proposal · Version 1.0 · 9 September 2026 · Document owner: Amr Hefny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color w:val="1017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Arial" w:hAnsi="Arial"/>
      <w:b/>
      <w:bCs/>
      <w:color w:val="0D3B3F"/>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b/>
      <w:bCs/>
      <w:color w:val="0D3B3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9A6D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