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tbl>
      <w:tblPr>
        <w:tblStyle w:val="TableGrid"/>
        <w:tblW w:type="auto" w:w="0"/>
        <w:tblLook w:firstColumn="1" w:firstRow="1" w:lastColumn="0" w:lastRow="0" w:noHBand="0" w:noVBand="1" w:val="04A0"/>
      </w:tblPr>
      <w:tblGrid>
        <w:gridCol w:w="9518"/>
      </w:tblGrid>
      <w:tr>
        <w:tc>
          <w:tcPr>
            <w:tcW w:type="dxa" w:w="9518"/>
            <w:shd w:val="clear" w:fill="F4ECDC"/>
          </w:tcPr>
          <w:p>
            <w:pPr>
              <w:spacing w:after="60"/>
            </w:pPr>
            <w:r/>
            <w:r>
              <w:rPr>
                <w:rFonts w:ascii="Arial" w:hAnsi="Arial"/>
                <w:b/>
                <w:color w:val="9A6D24"/>
                <w:sz w:val="15"/>
              </w:rPr>
              <w:t>THE CENTRAL INSIGHT</w:t>
            </w:r>
          </w:p>
          <w:p>
            <w:r>
              <w:rPr>
                <w:rFonts w:ascii="Georgia" w:hAnsi="Georgia"/>
                <w:color w:val="101718"/>
                <w:sz w:val="19"/>
              </w:rPr>
              <w:t>Do not ask anyone to contribute vehicle history. Give workshops a genuinely better system for running their business, and let the history be the exhaust of them doing their ordinary work.</w:t>
            </w:r>
          </w:p>
        </w:tc>
      </w:tr>
    </w:tbl>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tbl>
      <w:tblPr>
        <w:tblStyle w:val="TableGrid"/>
        <w:tblW w:type="auto" w:w="0"/>
        <w:jc w:val="left"/>
        <w:tblLayout w:type="autofit"/>
        <w:tblLook w:firstColumn="1" w:firstRow="1" w:lastColumn="0" w:lastRow="0" w:noHBand="0" w:noVBand="1" w:val="04A0"/>
      </w:tblPr>
      <w:tblGrid>
        <w:gridCol w:w="3173"/>
        <w:gridCol w:w="3173"/>
        <w:gridCol w:w="3173"/>
      </w:tblGrid>
      <w:tr>
        <w:tc>
          <w:tcPr>
            <w:tcW w:type="dxa" w:w="2268"/>
            <w:shd w:val="clear" w:fill="ECEFF0"/>
          </w:tcPr>
          <w:p>
            <w:r/>
            <w:r>
              <w:rPr>
                <w:rFonts w:ascii="Arial" w:hAnsi="Arial"/>
                <w:b/>
                <w:color w:val="0D3B3F"/>
                <w:sz w:val="15"/>
              </w:rPr>
              <w:t>MEASURE</w:t>
            </w:r>
          </w:p>
        </w:tc>
        <w:tc>
          <w:tcPr>
            <w:tcW w:type="dxa" w:w="2551"/>
            <w:shd w:val="clear" w:fill="ECEFF0"/>
          </w:tcPr>
          <w:p>
            <w:r/>
            <w:r>
              <w:rPr>
                <w:rFonts w:ascii="Arial" w:hAnsi="Arial"/>
                <w:b/>
                <w:color w:val="0D3B3F"/>
                <w:sz w:val="15"/>
              </w:rPr>
              <w:t>VALUE</w:t>
            </w:r>
          </w:p>
        </w:tc>
        <w:tc>
          <w:tcPr>
            <w:tcW w:type="dxa" w:w="4252"/>
            <w:shd w:val="clear" w:fill="ECEFF0"/>
          </w:tcPr>
          <w:p>
            <w:r/>
            <w:r>
              <w:rPr>
                <w:rFonts w:ascii="Arial" w:hAnsi="Arial"/>
                <w:b/>
                <w:color w:val="0D3B3F"/>
                <w:sz w:val="15"/>
              </w:rPr>
              <w:t>NOTE</w:t>
            </w:r>
          </w:p>
        </w:tc>
      </w:tr>
      <w:tr>
        <w:tc>
          <w:tcPr>
            <w:tcW w:type="dxa" w:w="2268"/>
          </w:tcPr>
          <w:p>
            <w:r/>
            <w:r>
              <w:rPr>
                <w:rFonts w:ascii="Georgia" w:hAnsi="Georgia"/>
                <w:color w:val="101718"/>
                <w:sz w:val="18"/>
              </w:rPr>
              <w:t>Delivery</w:t>
            </w:r>
          </w:p>
        </w:tc>
        <w:tc>
          <w:tcPr>
            <w:tcW w:type="dxa" w:w="2551"/>
          </w:tcPr>
          <w:p>
            <w:r/>
            <w:r>
              <w:rPr>
                <w:rFonts w:ascii="Georgia" w:hAnsi="Georgia"/>
                <w:color w:val="101718"/>
                <w:sz w:val="18"/>
              </w:rPr>
              <w:t>28 weeks</w:t>
            </w:r>
          </w:p>
        </w:tc>
        <w:tc>
          <w:tcPr>
            <w:tcW w:type="dxa" w:w="4252"/>
          </w:tcPr>
          <w:p>
            <w:r/>
            <w:r>
              <w:rPr>
                <w:rFonts w:ascii="Georgia" w:hAnsi="Georgia"/>
                <w:color w:val="101718"/>
                <w:sz w:val="18"/>
              </w:rPr>
              <w:t>To a commercially complete platform</w:t>
            </w:r>
          </w:p>
        </w:tc>
      </w:tr>
      <w:tr>
        <w:tc>
          <w:tcPr>
            <w:tcW w:type="dxa" w:w="2268"/>
          </w:tcPr>
          <w:p>
            <w:r/>
            <w:r>
              <w:rPr>
                <w:rFonts w:ascii="Georgia" w:hAnsi="Georgia"/>
                <w:color w:val="101718"/>
                <w:sz w:val="18"/>
              </w:rPr>
              <w:t>Build cost</w:t>
            </w:r>
          </w:p>
        </w:tc>
        <w:tc>
          <w:tcPr>
            <w:tcW w:type="dxa" w:w="2551"/>
          </w:tcPr>
          <w:p>
            <w:r/>
            <w:r>
              <w:rPr>
                <w:rFonts w:ascii="Georgia" w:hAnsi="Georgia"/>
                <w:color w:val="101718"/>
                <w:sz w:val="18"/>
              </w:rPr>
              <w:t>GBP 302,500</w:t>
            </w:r>
          </w:p>
        </w:tc>
        <w:tc>
          <w:tcPr>
            <w:tcW w:type="dxa" w:w="4252"/>
          </w:tcPr>
          <w:p>
            <w:r/>
            <w:r>
              <w:rPr>
                <w:rFonts w:ascii="Georgia" w:hAnsi="Georgia"/>
                <w:color w:val="101718"/>
                <w:sz w:val="18"/>
              </w:rPr>
              <w:t>Phases 1 to 3, before contingency</w:t>
            </w:r>
          </w:p>
        </w:tc>
      </w:tr>
      <w:tr>
        <w:tc>
          <w:tcPr>
            <w:tcW w:type="dxa" w:w="2268"/>
          </w:tcPr>
          <w:p>
            <w:r/>
            <w:r>
              <w:rPr>
                <w:rFonts w:ascii="Georgia" w:hAnsi="Georgia"/>
                <w:color w:val="101718"/>
                <w:sz w:val="18"/>
              </w:rPr>
              <w:t>Proposal range</w:t>
            </w:r>
          </w:p>
        </w:tc>
        <w:tc>
          <w:tcPr>
            <w:tcW w:type="dxa" w:w="2551"/>
          </w:tcPr>
          <w:p>
            <w:r/>
            <w:r>
              <w:rPr>
                <w:rFonts w:ascii="Georgia" w:hAnsi="Georgia"/>
                <w:color w:val="101718"/>
                <w:sz w:val="18"/>
              </w:rPr>
              <w:t>GBP 268,000 – 312,000</w:t>
            </w:r>
          </w:p>
        </w:tc>
        <w:tc>
          <w:tcPr>
            <w:tcW w:type="dxa" w:w="4252"/>
          </w:tcPr>
          <w:p>
            <w:r/>
            <w:r>
              <w:rPr>
                <w:rFonts w:ascii="Georgia" w:hAnsi="Georgia"/>
                <w:color w:val="101718"/>
                <w:sz w:val="18"/>
              </w:rPr>
              <w:t>Excluding held contingency</w:t>
            </w:r>
          </w:p>
        </w:tc>
      </w:tr>
      <w:tr>
        <w:tc>
          <w:tcPr>
            <w:tcW w:type="dxa" w:w="2268"/>
          </w:tcPr>
          <w:p>
            <w:r/>
            <w:r>
              <w:rPr>
                <w:rFonts w:ascii="Georgia" w:hAnsi="Georgia"/>
                <w:color w:val="101718"/>
                <w:sz w:val="18"/>
              </w:rPr>
              <w:t>First revenue</w:t>
            </w:r>
          </w:p>
        </w:tc>
        <w:tc>
          <w:tcPr>
            <w:tcW w:type="dxa" w:w="2551"/>
          </w:tcPr>
          <w:p>
            <w:r/>
            <w:r>
              <w:rPr>
                <w:rFonts w:ascii="Georgia" w:hAnsi="Georgia"/>
                <w:color w:val="101718"/>
                <w:sz w:val="18"/>
              </w:rPr>
              <w:t>Week 20</w:t>
            </w:r>
          </w:p>
        </w:tc>
        <w:tc>
          <w:tcPr>
            <w:tcW w:type="dxa" w:w="4252"/>
          </w:tcPr>
          <w:p>
            <w:r/>
            <w:r>
              <w:rPr>
                <w:rFonts w:ascii="Georgia" w:hAnsi="Georgia"/>
                <w:color w:val="101718"/>
                <w:sz w:val="18"/>
              </w:rPr>
              <w:t>First paying customer</w:t>
            </w:r>
          </w:p>
        </w:tc>
      </w:tr>
      <w:tr>
        <w:tc>
          <w:tcPr>
            <w:tcW w:type="dxa" w:w="2268"/>
          </w:tcPr>
          <w:p>
            <w:r/>
            <w:r>
              <w:rPr>
                <w:rFonts w:ascii="Georgia" w:hAnsi="Georgia"/>
                <w:color w:val="101718"/>
                <w:sz w:val="18"/>
              </w:rPr>
              <w:t>Capability gaps</w:t>
            </w:r>
          </w:p>
        </w:tc>
        <w:tc>
          <w:tcPr>
            <w:tcW w:type="dxa" w:w="2551"/>
          </w:tcPr>
          <w:p>
            <w:r/>
            <w:r>
              <w:rPr>
                <w:rFonts w:ascii="Georgia" w:hAnsi="Georgia"/>
                <w:color w:val="101718"/>
                <w:sz w:val="18"/>
              </w:rPr>
              <w:t>11</w:t>
            </w:r>
          </w:p>
        </w:tc>
        <w:tc>
          <w:tcPr>
            <w:tcW w:type="dxa" w:w="4252"/>
          </w:tcPr>
          <w:p>
            <w:r/>
            <w:r>
              <w:rPr>
                <w:rFonts w:ascii="Georgia" w:hAnsi="Georgia"/>
                <w:color w:val="101718"/>
                <w:sz w:val="18"/>
              </w:rPr>
              <w:t>Where the verified incumbent has nothing</w:t>
            </w:r>
          </w:p>
        </w:tc>
      </w:tr>
    </w:tbl>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tbl>
      <w:tblPr>
        <w:tblStyle w:val="TableGrid"/>
        <w:tblW w:type="auto" w:w="0"/>
        <w:jc w:val="left"/>
        <w:tblLayout w:type="autofit"/>
        <w:tblLook w:firstColumn="1" w:firstRow="1" w:lastColumn="0" w:lastRow="0" w:noHBand="0" w:noVBand="1" w:val="04A0"/>
      </w:tblPr>
      <w:tblGrid>
        <w:gridCol w:w="4759"/>
        <w:gridCol w:w="4759"/>
      </w:tblGrid>
      <w:tr>
        <w:tc>
          <w:tcPr>
            <w:tcW w:type="dxa" w:w="1984"/>
            <w:shd w:val="clear" w:fill="ECEFF0"/>
          </w:tcPr>
          <w:p>
            <w:r/>
            <w:r>
              <w:rPr>
                <w:rFonts w:ascii="Arial" w:hAnsi="Arial"/>
                <w:b/>
                <w:color w:val="0D3B3F"/>
                <w:sz w:val="15"/>
              </w:rPr>
              <w:t>PARTY</w:t>
            </w:r>
          </w:p>
        </w:tc>
        <w:tc>
          <w:tcPr>
            <w:tcW w:type="dxa" w:w="7087"/>
            <w:shd w:val="clear" w:fill="ECEFF0"/>
          </w:tcPr>
          <w:p>
            <w:r/>
            <w:r>
              <w:rPr>
                <w:rFonts w:ascii="Arial" w:hAnsi="Arial"/>
                <w:b/>
                <w:color w:val="0D3B3F"/>
                <w:sz w:val="15"/>
              </w:rPr>
              <w:t>WHAT IT COSTS THEM</w:t>
            </w:r>
          </w:p>
        </w:tc>
      </w:tr>
      <w:tr>
        <w:tc>
          <w:tcPr>
            <w:tcW w:type="dxa" w:w="1984"/>
          </w:tcPr>
          <w:p>
            <w:r/>
            <w:r>
              <w:rPr>
                <w:rFonts w:ascii="Georgia" w:hAnsi="Georgia"/>
                <w:color w:val="101718"/>
                <w:sz w:val="18"/>
              </w:rPr>
              <w:t>Buyer</w:t>
            </w:r>
          </w:p>
        </w:tc>
        <w:tc>
          <w:tcPr>
            <w:tcW w:type="dxa" w:w="7087"/>
          </w:tcPr>
          <w:p>
            <w:r/>
            <w:r>
              <w:rPr>
                <w:rFonts w:ascii="Georgia" w:hAnsi="Georgia"/>
                <w:color w:val="101718"/>
                <w:sz w:val="18"/>
              </w:rPr>
              <w:t>Pays for a car whose condition is unknowable. Odometer fraud, undisclosed accident damage, skipped cambelt intervals. Buys risk blind.</w:t>
            </w:r>
          </w:p>
        </w:tc>
      </w:tr>
      <w:tr>
        <w:tc>
          <w:tcPr>
            <w:tcW w:type="dxa" w:w="1984"/>
          </w:tcPr>
          <w:p>
            <w:r/>
            <w:r>
              <w:rPr>
                <w:rFonts w:ascii="Georgia" w:hAnsi="Georgia"/>
                <w:color w:val="101718"/>
                <w:sz w:val="18"/>
              </w:rPr>
              <w:t>Seller</w:t>
            </w:r>
          </w:p>
        </w:tc>
        <w:tc>
          <w:tcPr>
            <w:tcW w:type="dxa" w:w="7087"/>
          </w:tcPr>
          <w:p>
            <w:r/>
            <w:r>
              <w:rPr>
                <w:rFonts w:ascii="Georgia" w:hAnsi="Georgia"/>
                <w:color w:val="101718"/>
                <w:sz w:val="18"/>
              </w:rPr>
              <w:t>Cannot prove the thousands spent on diligent maintenance. A well-kept car sells for the same price as a neglected one.</w:t>
            </w:r>
          </w:p>
        </w:tc>
      </w:tr>
      <w:tr>
        <w:tc>
          <w:tcPr>
            <w:tcW w:type="dxa" w:w="1984"/>
          </w:tcPr>
          <w:p>
            <w:r/>
            <w:r>
              <w:rPr>
                <w:rFonts w:ascii="Georgia" w:hAnsi="Georgia"/>
                <w:color w:val="101718"/>
                <w:sz w:val="18"/>
              </w:rPr>
              <w:t>Workshop</w:t>
            </w:r>
          </w:p>
        </w:tc>
        <w:tc>
          <w:tcPr>
            <w:tcW w:type="dxa" w:w="7087"/>
          </w:tcPr>
          <w:p>
            <w:r/>
            <w:r>
              <w:rPr>
                <w:rFonts w:ascii="Georgia" w:hAnsi="Georgia"/>
                <w:color w:val="101718"/>
                <w:sz w:val="18"/>
              </w:rPr>
              <w:t>Every unfamiliar car is diagnosed from zero. Hours spent rediscovering facts somebody already established.</w:t>
            </w:r>
          </w:p>
        </w:tc>
      </w:tr>
      <w:tr>
        <w:tc>
          <w:tcPr>
            <w:tcW w:type="dxa" w:w="1984"/>
          </w:tcPr>
          <w:p>
            <w:r/>
            <w:r>
              <w:rPr>
                <w:rFonts w:ascii="Georgia" w:hAnsi="Georgia"/>
                <w:color w:val="101718"/>
                <w:sz w:val="18"/>
              </w:rPr>
              <w:t>Owner</w:t>
            </w:r>
          </w:p>
        </w:tc>
        <w:tc>
          <w:tcPr>
            <w:tcW w:type="dxa" w:w="7087"/>
          </w:tcPr>
          <w:p>
            <w:r/>
            <w:r>
              <w:rPr>
                <w:rFonts w:ascii="Georgia" w:hAnsi="Georgia"/>
                <w:color w:val="101718"/>
                <w:sz w:val="18"/>
              </w:rPr>
              <w:t>Cannot judge whether a quote is fair, having no record of what was already replaced. Pays twice for the same part more often than anyone admits.</w:t>
            </w:r>
          </w:p>
        </w:tc>
      </w:tr>
      <w:tr>
        <w:tc>
          <w:tcPr>
            <w:tcW w:type="dxa" w:w="1984"/>
          </w:tcPr>
          <w:p>
            <w:r/>
            <w:r>
              <w:rPr>
                <w:rFonts w:ascii="Georgia" w:hAnsi="Georgia"/>
                <w:color w:val="101718"/>
                <w:sz w:val="18"/>
              </w:rPr>
              <w:t>Insurer / OEM</w:t>
            </w:r>
          </w:p>
        </w:tc>
        <w:tc>
          <w:tcPr>
            <w:tcW w:type="dxa" w:w="7087"/>
          </w:tcPr>
          <w:p>
            <w:r/>
            <w:r>
              <w:rPr>
                <w:rFonts w:ascii="Georgia" w:hAnsi="Georgia"/>
                <w:color w:val="101718"/>
                <w:sz w:val="18"/>
              </w:rPr>
              <w:t>Recall campaigns reach a fraction of affected vehicles. Claims assessed on assertion rather than evidence.</w:t>
            </w:r>
          </w:p>
        </w:tc>
      </w:tr>
    </w:tbl>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tbl>
      <w:tblPr>
        <w:tblStyle w:val="TableGrid"/>
        <w:tblW w:type="auto" w:w="0"/>
        <w:jc w:val="left"/>
        <w:tblLayout w:type="autofit"/>
        <w:tblLook w:firstColumn="1" w:firstRow="1" w:lastColumn="0" w:lastRow="0" w:noHBand="0" w:noVBand="1" w:val="04A0"/>
      </w:tblPr>
      <w:tblGrid>
        <w:gridCol w:w="2379"/>
        <w:gridCol w:w="2379"/>
        <w:gridCol w:w="2379"/>
        <w:gridCol w:w="2379"/>
      </w:tblGrid>
      <w:tr>
        <w:tc>
          <w:tcPr>
            <w:tcW w:type="dxa" w:w="1814"/>
            <w:shd w:val="clear" w:fill="ECEFF0"/>
          </w:tcPr>
          <w:p>
            <w:r/>
            <w:r>
              <w:rPr>
                <w:rFonts w:ascii="Arial" w:hAnsi="Arial"/>
                <w:b/>
                <w:color w:val="0D3B3F"/>
                <w:sz w:val="15"/>
              </w:rPr>
              <w:t>SURFACE</w:t>
            </w:r>
          </w:p>
        </w:tc>
        <w:tc>
          <w:tcPr>
            <w:tcW w:type="dxa" w:w="2268"/>
            <w:shd w:val="clear" w:fill="ECEFF0"/>
          </w:tcPr>
          <w:p>
            <w:r/>
            <w:r>
              <w:rPr>
                <w:rFonts w:ascii="Arial" w:hAnsi="Arial"/>
                <w:b/>
                <w:color w:val="0D3B3F"/>
                <w:sz w:val="15"/>
              </w:rPr>
              <w:t>WHO USES IT</w:t>
            </w:r>
          </w:p>
        </w:tc>
        <w:tc>
          <w:tcPr>
            <w:tcW w:type="dxa" w:w="1020"/>
            <w:shd w:val="clear" w:fill="ECEFF0"/>
          </w:tcPr>
          <w:p>
            <w:r/>
            <w:r>
              <w:rPr>
                <w:rFonts w:ascii="Arial" w:hAnsi="Arial"/>
                <w:b/>
                <w:color w:val="0D3B3F"/>
                <w:sz w:val="15"/>
              </w:rPr>
              <w:t>PRICE</w:t>
            </w:r>
          </w:p>
        </w:tc>
        <w:tc>
          <w:tcPr>
            <w:tcW w:type="dxa" w:w="3969"/>
            <w:shd w:val="clear" w:fill="ECEFF0"/>
          </w:tcPr>
          <w:p>
            <w:r/>
            <w:r>
              <w:rPr>
                <w:rFonts w:ascii="Arial" w:hAnsi="Arial"/>
                <w:b/>
                <w:color w:val="0D3B3F"/>
                <w:sz w:val="15"/>
              </w:rPr>
              <w:t>WHAT IT IS</w:t>
            </w:r>
          </w:p>
        </w:tc>
      </w:tr>
      <w:tr>
        <w:tc>
          <w:tcPr>
            <w:tcW w:type="dxa" w:w="1814"/>
          </w:tcPr>
          <w:p>
            <w:r/>
            <w:r>
              <w:rPr>
                <w:rFonts w:ascii="Georgia" w:hAnsi="Georgia"/>
                <w:color w:val="101718"/>
                <w:sz w:val="18"/>
              </w:rPr>
              <w:t>Carnet Passport</w:t>
            </w:r>
          </w:p>
        </w:tc>
        <w:tc>
          <w:tcPr>
            <w:tcW w:type="dxa" w:w="2268"/>
          </w:tcPr>
          <w:p>
            <w:r/>
            <w:r>
              <w:rPr>
                <w:rFonts w:ascii="Georgia" w:hAnsi="Georgia"/>
                <w:color w:val="101718"/>
                <w:sz w:val="18"/>
              </w:rPr>
              <w:t>Owners, buyers, sellers, insurers</w:t>
            </w:r>
          </w:p>
        </w:tc>
        <w:tc>
          <w:tcPr>
            <w:tcW w:type="dxa" w:w="1020"/>
          </w:tcPr>
          <w:p>
            <w:r/>
            <w:r>
              <w:rPr>
                <w:rFonts w:ascii="Georgia" w:hAnsi="Georgia"/>
                <w:color w:val="101718"/>
                <w:sz w:val="18"/>
              </w:rPr>
              <w:t>Free</w:t>
            </w:r>
          </w:p>
        </w:tc>
        <w:tc>
          <w:tcPr>
            <w:tcW w:type="dxa" w:w="3969"/>
          </w:tcPr>
          <w:p>
            <w:r/>
            <w:r>
              <w:rPr>
                <w:rFonts w:ascii="Georgia" w:hAnsi="Georgia"/>
                <w:color w:val="101718"/>
                <w:sz w:val="18"/>
              </w:rPr>
              <w:t>The vehicle's permanent timeline. Keyed to VIN, not to an owner or a workshop. Append-only, tamper-evident, transfers on sale.</w:t>
            </w:r>
          </w:p>
        </w:tc>
      </w:tr>
      <w:tr>
        <w:tc>
          <w:tcPr>
            <w:tcW w:type="dxa" w:w="1814"/>
          </w:tcPr>
          <w:p>
            <w:r/>
            <w:r>
              <w:rPr>
                <w:rFonts w:ascii="Georgia" w:hAnsi="Georgia"/>
                <w:color w:val="101718"/>
                <w:sz w:val="18"/>
              </w:rPr>
              <w:t>Carnet Workshop</w:t>
            </w:r>
          </w:p>
        </w:tc>
        <w:tc>
          <w:tcPr>
            <w:tcW w:type="dxa" w:w="2268"/>
          </w:tcPr>
          <w:p>
            <w:r/>
            <w:r>
              <w:rPr>
                <w:rFonts w:ascii="Georgia" w:hAnsi="Georgia"/>
                <w:color w:val="101718"/>
                <w:sz w:val="18"/>
              </w:rPr>
              <w:t>Workshops, technicians, owners, bookkeepers</w:t>
            </w:r>
          </w:p>
        </w:tc>
        <w:tc>
          <w:tcPr>
            <w:tcW w:type="dxa" w:w="1020"/>
          </w:tcPr>
          <w:p>
            <w:r/>
            <w:r>
              <w:rPr>
                <w:rFonts w:ascii="Georgia" w:hAnsi="Georgia"/>
                <w:color w:val="101718"/>
                <w:sz w:val="18"/>
              </w:rPr>
              <w:t>Paid</w:t>
            </w:r>
          </w:p>
        </w:tc>
        <w:tc>
          <w:tcPr>
            <w:tcW w:type="dxa" w:w="3969"/>
          </w:tcPr>
          <w:p>
            <w:r/>
            <w:r>
              <w:rPr>
                <w:rFonts w:ascii="Georgia" w:hAnsi="Georgia"/>
                <w:color w:val="101718"/>
                <w:sz w:val="18"/>
              </w:rPr>
              <w:t>Booking, job, inspection, estimate, approval, parts, work, quality check, invoice, payment, ledger.</w:t>
            </w:r>
          </w:p>
        </w:tc>
      </w:tr>
    </w:tbl>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106</w:t>
            </w:r>
          </w:p>
        </w:tc>
      </w:tr>
      <w:tr>
        <w:tc>
          <w:tcPr>
            <w:tcW w:type="dxa" w:w="4759"/>
          </w:tcPr>
          <w:p>
            <w:r>
              <w:t>Database tables</w:t>
            </w:r>
          </w:p>
        </w:tc>
        <w:tc>
          <w:tcPr>
            <w:tcW w:type="dxa" w:w="4759"/>
          </w:tcPr>
          <w:p>
            <w:pPr>
              <w:jc w:val="right"/>
            </w:pPr>
            <w:r>
              <w:t>128</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44</w:t>
            </w:r>
          </w:p>
        </w:tc>
      </w:tr>
      <w:tr>
        <w:tc>
          <w:tcPr>
            <w:tcW w:type="dxa" w:w="4759"/>
          </w:tcPr>
          <w:p>
            <w:r>
              <w:t>Functional requirements</w:t>
            </w:r>
          </w:p>
        </w:tc>
        <w:tc>
          <w:tcPr>
            <w:tcW w:type="dxa" w:w="4759"/>
          </w:tcPr>
          <w:p>
            <w:pPr>
              <w:jc w:val="right"/>
            </w:pPr>
            <w:r>
              <w:t>505</w:t>
            </w:r>
          </w:p>
        </w:tc>
      </w:tr>
      <w:tr>
        <w:tc>
          <w:tcPr>
            <w:tcW w:type="dxa" w:w="4759"/>
          </w:tcPr>
          <w:p>
            <w:r>
              <w:t>Capabilities built</w:t>
            </w:r>
          </w:p>
        </w:tc>
        <w:tc>
          <w:tcPr>
            <w:tcW w:type="dxa" w:w="4759"/>
          </w:tcPr>
          <w:p>
            <w:pPr>
              <w:jc w:val="right"/>
            </w:pPr>
            <w:r>
              <w:t>165 of 189</w:t>
            </w:r>
          </w:p>
        </w:tc>
      </w:tr>
      <w:tr>
        <w:tc>
          <w:tcPr>
            <w:tcW w:type="dxa" w:w="4759"/>
          </w:tcPr>
          <w:p>
            <w:r>
              <w:t>Capabilities partial</w:t>
            </w:r>
          </w:p>
        </w:tc>
        <w:tc>
          <w:tcPr>
            <w:tcW w:type="dxa" w:w="4759"/>
          </w:tcPr>
          <w:p>
            <w:pPr>
              <w:jc w:val="right"/>
            </w:pPr>
            <w:r>
              <w:t>4</w:t>
            </w:r>
          </w:p>
        </w:tc>
      </w:tr>
      <w:tr>
        <w:tc>
          <w:tcPr>
            <w:tcW w:type="dxa" w:w="4759"/>
          </w:tcPr>
          <w:p>
            <w:r>
              <w:t>Capabilities not yet built</w:t>
            </w:r>
          </w:p>
        </w:tc>
        <w:tc>
          <w:tcPr>
            <w:tcW w:type="dxa" w:w="4759"/>
          </w:tcPr>
          <w:p>
            <w:pPr>
              <w:jc w:val="right"/>
            </w:pPr>
            <w:r>
              <w:t>19</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