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118</w:t>
            </w:r>
          </w:p>
        </w:tc>
      </w:tr>
      <w:tr>
        <w:tc>
          <w:tcPr>
            <w:tcW w:type="dxa" w:w="4759"/>
          </w:tcPr>
          <w:p>
            <w:r>
              <w:t>Database tables</w:t>
            </w:r>
          </w:p>
        </w:tc>
        <w:tc>
          <w:tcPr>
            <w:tcW w:type="dxa" w:w="4759"/>
          </w:tcPr>
          <w:p>
            <w:pPr>
              <w:jc w:val="right"/>
            </w:pPr>
            <w:r>
              <w:t>150</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58</w:t>
            </w:r>
          </w:p>
        </w:tc>
      </w:tr>
      <w:tr>
        <w:tc>
          <w:tcPr>
            <w:tcW w:type="dxa" w:w="4759"/>
          </w:tcPr>
          <w:p>
            <w:r>
              <w:t>Functional requirements</w:t>
            </w:r>
          </w:p>
        </w:tc>
        <w:tc>
          <w:tcPr>
            <w:tcW w:type="dxa" w:w="4759"/>
          </w:tcPr>
          <w:p>
            <w:pPr>
              <w:jc w:val="right"/>
            </w:pPr>
            <w:r>
              <w:t>597</w:t>
            </w:r>
          </w:p>
        </w:tc>
      </w:tr>
      <w:tr>
        <w:tc>
          <w:tcPr>
            <w:tcW w:type="dxa" w:w="4759"/>
          </w:tcPr>
          <w:p>
            <w:r>
              <w:t>Capabilities built</w:t>
            </w:r>
          </w:p>
        </w:tc>
        <w:tc>
          <w:tcPr>
            <w:tcW w:type="dxa" w:w="4759"/>
          </w:tcPr>
          <w:p>
            <w:pPr>
              <w:jc w:val="right"/>
            </w:pPr>
            <w:r>
              <w:t>219 of 225</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4</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