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15 September 2026, after Phase 43.</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10931623"/>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31623"/>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8173349"/>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3349"/>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8382449"/>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8382449"/>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10931623"/>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31623"/>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10931623"/>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31623"/>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8173349"/>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3349"/>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724162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724162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0844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0844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49846"/>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49846"/>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025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025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0844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0844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491222"/>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491222"/>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812308"/>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812308"/>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796999"/>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796999"/>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8173349"/>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3349"/>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84449"/>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84449"/>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5350499"/>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535049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76574"/>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76574"/>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5470424"/>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0"/>
                    <a:stretch>
                      <a:fillRect/>
                    </a:stretch>
                  </pic:blipFill>
                  <pic:spPr>
                    <a:xfrm>
                      <a:off x="0" y="0"/>
                      <a:ext cx="5903999" cy="5470424"/>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10931623"/>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31623"/>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6808049"/>
            <wp:docPr id="43" name="Picture 43"/>
            <wp:cNvGraphicFramePr>
              <a:graphicFrameLocks noChangeAspect="1"/>
            </wp:cNvGraphicFramePr>
            <a:graphic>
              <a:graphicData uri="http://schemas.openxmlformats.org/drawingml/2006/picture">
                <pic:pic>
                  <pic:nvPicPr>
                    <pic:cNvPr id="0" name="comebacks.png"/>
                    <pic:cNvPicPr/>
                  </pic:nvPicPr>
                  <pic:blipFill>
                    <a:blip r:embed="rId41"/>
                    <a:stretch>
                      <a:fillRect/>
                    </a:stretch>
                  </pic:blipFill>
                  <pic:spPr>
                    <a:xfrm>
                      <a:off x="0" y="0"/>
                      <a:ext cx="5903999" cy="6808049"/>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6143849"/>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2"/>
                    <a:stretch>
                      <a:fillRect/>
                    </a:stretch>
                  </pic:blipFill>
                  <pic:spPr>
                    <a:xfrm>
                      <a:off x="0" y="0"/>
                      <a:ext cx="5903999" cy="6143849"/>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dashboard-ar.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job-fr.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tax-report.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2"/>
      </w:pPr>
      <w:r>
        <w:t>Paper</w:t>
      </w:r>
    </w:p>
    <w:p>
      <w:pPr>
        <w:spacing w:after="120"/>
      </w:pPr>
      <w:r>
        <w:rPr>
          <w:rFonts w:ascii="Public Sans" w:hAnsi="Public Sans"/>
          <w:b w:val="0"/>
          <w:i/>
          <w:color w:val="6B7577"/>
          <w:sz w:val="19"/>
        </w:rPr>
        <w:t>Phase 42,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runs on paper as much as screens: the sheet on the bench, the tag on the keys, the label on the shelf, and the invoice a customer's company wants as a file.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document is one white sheet on a grey desk, with Back, Download PDF and Print above it on screen and nothing but the sheet on paper.</w:t>
      </w:r>
    </w:p>
    <w:p>
      <w:pPr>
        <w:pStyle w:val="ListBullet"/>
        <w:spacing w:after="60"/>
      </w:pPr>
      <w:r>
        <w:rPr>
          <w:rFonts w:ascii="Public Sans" w:hAnsi="Public Sans"/>
          <w:sz w:val="21"/>
        </w:rPr>
        <w:t>The letterhead runs across the top with the title and number opposite; what the document is about sits in two columns of label and value; tables are ruled lightly, figures aligned to the end.</w:t>
      </w:r>
    </w:p>
    <w:p>
      <w:pPr>
        <w:pStyle w:val="ListBullet"/>
        <w:spacing w:after="60"/>
      </w:pPr>
      <w:r>
        <w:rPr>
          <w:rFonts w:ascii="Public Sans" w:hAnsi="Public Sans"/>
          <w:sz w:val="21"/>
        </w:rPr>
        <w:t>A document that is not final carries its state across it in large faint red letters. A QR code sits beside what it opens, with the words under it for anyone without a phone.</w:t>
      </w:r>
    </w:p>
    <w:p>
      <w:pPr>
        <w:pStyle w:val="ListBullet"/>
        <w:spacing w:after="160"/>
      </w:pPr>
      <w:r>
        <w:rPr>
          <w:rFonts w:ascii="Public Sans" w:hAnsi="Public Sans"/>
          <w:sz w:val="21"/>
        </w:rPr>
        <w:t>In Arabic the sheet mirrors; names, plates, addresses and amounts stay in their own direction inside the Arabic text.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Rendering the PDF from the printed page means one layout to keep right, in every language, and a file that is always the paper.</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print-work-order.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work order.</w:t>
      </w:r>
    </w:p>
    <w:p>
      <w:pPr>
        <w:jc w:val="center"/>
      </w:pPr>
      <w:r>
        <w:drawing>
          <wp:inline xmlns:a="http://schemas.openxmlformats.org/drawingml/2006/main" xmlns:pic="http://schemas.openxmlformats.org/drawingml/2006/picture">
            <wp:extent cx="5903999" cy="5845574"/>
            <wp:docPr id="49" name="Picture 49"/>
            <wp:cNvGraphicFramePr>
              <a:graphicFrameLocks noChangeAspect="1"/>
            </wp:cNvGraphicFramePr>
            <a:graphic>
              <a:graphicData uri="http://schemas.openxmlformats.org/drawingml/2006/picture">
                <pic:pic>
                  <pic:nvPicPr>
                    <pic:cNvPr id="0" name="print-inspection-ar.png"/>
                    <pic:cNvPicPr/>
                  </pic:nvPicPr>
                  <pic:blipFill>
                    <a:blip r:embed="rId47"/>
                    <a:stretch>
                      <a:fillRect/>
                    </a:stretch>
                  </pic:blipFill>
                  <pic:spPr>
                    <a:xfrm>
                      <a:off x="0" y="0"/>
                      <a:ext cx="5903999" cy="5845574"/>
                    </a:xfrm>
                    <a:prstGeom prst="rect"/>
                  </pic:spPr>
                </pic:pic>
              </a:graphicData>
            </a:graphic>
          </wp:inline>
        </w:drawing>
      </w:r>
    </w:p>
    <w:p>
      <w:pPr>
        <w:spacing w:after="240"/>
        <w:jc w:val="center"/>
      </w:pPr>
      <w:r>
        <w:rPr>
          <w:rFonts w:ascii="Public Sans" w:hAnsi="Public Sans"/>
          <w:b w:val="0"/>
          <w:i/>
          <w:color w:val="6B7577"/>
          <w:sz w:val="18"/>
        </w:rPr>
        <w:t>An inspection report in Arabic.</w:t>
      </w:r>
    </w:p>
    <w:p>
      <w:pPr>
        <w:spacing w:after="280"/>
      </w:pPr>
      <w:r>
        <w:rPr>
          <w:rFonts w:ascii="Public Sans" w:hAnsi="Public Sans"/>
          <w:b w:val="0"/>
          <w:i w:val="0"/>
          <w:color w:val="6B7577"/>
          <w:sz w:val="17"/>
        </w:rPr>
        <w:t>Source: docs/02-design/05-security-model.md, section 7.6</w:t>
      </w:r>
    </w:p>
    <w:p>
      <w:pPr>
        <w:pBdr>
          <w:bottom w:val="single" w:sz="6" w:space="1" w:color="D9B36C"/>
        </w:pBdr>
        <w:spacing w:after="80"/>
      </w:pPr>
    </w:p>
    <w:p>
      <w:pPr>
        <w:pStyle w:val="Heading2"/>
      </w:pPr>
      <w:r>
        <w:t>Providers behind seams</w:t>
      </w:r>
    </w:p>
    <w:p>
      <w:pPr>
        <w:spacing w:after="120"/>
      </w:pPr>
      <w:r>
        <w:rPr>
          <w:rFonts w:ascii="Public Sans" w:hAnsi="Public Sans"/>
          <w:b w:val="0"/>
          <w:i/>
          <w:color w:val="6B7577"/>
          <w:sz w:val="19"/>
        </w:rPr>
        <w:t>Phase 43,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should not type a make off a windscreen, nor every vehicle a part fits, nor re-key a pay period into payroll software. What answers those questions comes from outside, so what the screens show is the answer and who gave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Reading a VIN fills the form and says who read it; what it could not tell is left blank, with a line saying to type it from the car.</w:t>
      </w:r>
    </w:p>
    <w:p>
      <w:pPr>
        <w:pStyle w:val="ListBullet"/>
        <w:spacing w:after="60"/>
      </w:pPr>
      <w:r>
        <w:rPr>
          <w:rFonts w:ascii="Public Sans" w:hAnsi="Public Sans"/>
          <w:sz w:val="21"/>
        </w:rPr>
        <w:t>A fitment row says whether a catalogue or a person put it there, and a fetch reports what was added, held, taken back and left alone.</w:t>
      </w:r>
    </w:p>
    <w:p>
      <w:pPr>
        <w:pStyle w:val="ListBullet"/>
        <w:spacing w:after="60"/>
      </w:pPr>
      <w:r>
        <w:rPr>
          <w:rFonts w:ascii="Public Sans" w:hAnsi="Public Sans"/>
          <w:sz w:val="21"/>
        </w:rPr>
        <w:t>The payroll page carries the bonuses and deductions under the period they belong to, the overtime multiplier beside the file the workshop hands over, and each file shape described in a line.</w:t>
      </w:r>
    </w:p>
    <w:p>
      <w:pPr>
        <w:pStyle w:val="ListBullet"/>
        <w:spacing w:after="160"/>
      </w:pPr>
      <w:r>
        <w:rPr>
          <w:rFonts w:ascii="Public Sans" w:hAnsi="Public Sans"/>
          <w:sz w:val="21"/>
        </w:rPr>
        <w:t>The customer's thank-you page, after five out of five, becomes one button to write it on Google.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seam has an implementation that needs nobody else, so a fresh install answers the same questions with less detail rather than with an error.</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vin-decode.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VIN read into the form.</w:t>
      </w:r>
    </w:p>
    <w:p>
      <w:pPr>
        <w:jc w:val="center"/>
      </w:pPr>
      <w:r>
        <w:drawing>
          <wp:inline xmlns:a="http://schemas.openxmlformats.org/drawingml/2006/main" xmlns:pic="http://schemas.openxmlformats.org/drawingml/2006/picture">
            <wp:extent cx="5903999" cy="8428574"/>
            <wp:docPr id="51" name="Picture 51"/>
            <wp:cNvGraphicFramePr>
              <a:graphicFrameLocks noChangeAspect="1"/>
            </wp:cNvGraphicFramePr>
            <a:graphic>
              <a:graphicData uri="http://schemas.openxmlformats.org/drawingml/2006/picture">
                <pic:pic>
                  <pic:nvPicPr>
                    <pic:cNvPr id="0" name="payroll.png"/>
                    <pic:cNvPicPr/>
                  </pic:nvPicPr>
                  <pic:blipFill>
                    <a:blip r:embed="rId49"/>
                    <a:stretch>
                      <a:fillRect/>
                    </a:stretch>
                  </pic:blipFill>
                  <pic:spPr>
                    <a:xfrm>
                      <a:off x="0" y="0"/>
                      <a:ext cx="5903999" cy="8428574"/>
                    </a:xfrm>
                    <a:prstGeom prst="rect"/>
                  </pic:spPr>
                </pic:pic>
              </a:graphicData>
            </a:graphic>
          </wp:inline>
        </w:drawing>
      </w:r>
    </w:p>
    <w:p>
      <w:pPr>
        <w:spacing w:after="240"/>
        <w:jc w:val="center"/>
      </w:pPr>
      <w:r>
        <w:rPr>
          <w:rFonts w:ascii="Public Sans" w:hAnsi="Public Sans"/>
          <w:b w:val="0"/>
          <w:i/>
          <w:color w:val="6B7577"/>
          <w:sz w:val="18"/>
        </w:rPr>
        <w:t>Bonuses, deductions and the file.</w:t>
      </w:r>
    </w:p>
    <w:p>
      <w:pPr>
        <w:spacing w:after="280"/>
      </w:pPr>
      <w:r>
        <w:rPr>
          <w:rFonts w:ascii="Public Sans" w:hAnsi="Public Sans"/>
          <w:b w:val="0"/>
          <w:i w:val="0"/>
          <w:color w:val="6B7577"/>
          <w:sz w:val="17"/>
        </w:rPr>
        <w:t>Source: docs/00-product/06-roadmap.md, Phase 43</w:t>
      </w:r>
    </w:p>
    <w:p>
      <w:pPr>
        <w:pBdr>
          <w:bottom w:val="single" w:sz="6" w:space="1" w:color="D9B36C"/>
        </w:pBdr>
        <w:spacing w:after="80"/>
      </w:pPr>
    </w:p>
    <w:p>
      <w:pPr>
        <w:pStyle w:val="Heading2"/>
      </w:pPr>
      <w:r>
        <w:t>A car handed to the person who bought it</w:t>
      </w:r>
    </w:p>
    <w:p>
      <w:pPr>
        <w:spacing w:after="120"/>
      </w:pPr>
      <w:r>
        <w:rPr>
          <w:rFonts w:ascii="Public Sans" w:hAnsi="Public Sans"/>
          <w:b w:val="0"/>
          <w:i/>
          <w:color w:val="6B7577"/>
          <w:sz w:val="19"/>
        </w:rPr>
        <w:t>Phase 44,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car is usually sold on a driveway, and the history is worth something only if it survives that. So the sale is an invitation the buyer accepts rather than a line the seller types, and what the buyer is shown is the car, never the seller.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page, no navigation: the vehicle, its plate, a sentence saying how many owners and how much history, and two buttons.</w:t>
      </w:r>
    </w:p>
    <w:p>
      <w:pPr>
        <w:pStyle w:val="ListBullet"/>
        <w:spacing w:after="60"/>
      </w:pPr>
      <w:r>
        <w:rPr>
          <w:rFonts w:ascii="Public Sans" w:hAnsi="Public Sans"/>
          <w:sz w:val="21"/>
        </w:rPr>
        <w:t>The figures are counts, not names. Nothing on the page identifies the seller, and nothing the seller sees identifies the buyer beyond the name they typed.</w:t>
      </w:r>
    </w:p>
    <w:p>
      <w:pPr>
        <w:pStyle w:val="ListBullet"/>
        <w:spacing w:after="60"/>
      </w:pPr>
      <w:r>
        <w:rPr>
          <w:rFonts w:ascii="Public Sans" w:hAnsi="Public Sans"/>
          <w:sz w:val="21"/>
        </w:rPr>
        <w:t>Accepting asks for a login, because a vehicle handed to nobody in particular is a vehicle nobody can be shown to own.</w:t>
      </w:r>
    </w:p>
    <w:p>
      <w:pPr>
        <w:pStyle w:val="ListBullet"/>
        <w:spacing w:after="160"/>
      </w:pPr>
      <w:r>
        <w:rPr>
          <w:rFonts w:ascii="Public Sans" w:hAnsi="Public Sans"/>
          <w:sz w:val="21"/>
        </w:rPr>
        <w:t>At the workshop the same form does either: record the sale on the workshop's word, or invite the buyer and wait for theirs.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moves until the buyer accepts, so the worst case is an invitation that lapses rather than a car taken off somebody's account by a stranger.</w:t>
      </w:r>
    </w:p>
    <w:p>
      <w:pPr>
        <w:jc w:val="center"/>
      </w:pPr>
      <w:r>
        <w:drawing>
          <wp:inline xmlns:a="http://schemas.openxmlformats.org/drawingml/2006/main" xmlns:pic="http://schemas.openxmlformats.org/drawingml/2006/picture">
            <wp:extent cx="4320000" cy="3037500"/>
            <wp:docPr id="52" name="Picture 52"/>
            <wp:cNvGraphicFramePr>
              <a:graphicFrameLocks noChangeAspect="1"/>
            </wp:cNvGraphicFramePr>
            <a:graphic>
              <a:graphicData uri="http://schemas.openxmlformats.org/drawingml/2006/picture">
                <pic:pic>
                  <pic:nvPicPr>
                    <pic:cNvPr id="0" name="handover.png"/>
                    <pic:cNvPicPr/>
                  </pic:nvPicPr>
                  <pic:blipFill>
                    <a:blip r:embed="rId50"/>
                    <a:stretch>
                      <a:fillRect/>
                    </a:stretch>
                  </pic:blipFill>
                  <pic:spPr>
                    <a:xfrm>
                      <a:off x="0" y="0"/>
                      <a:ext cx="4320000" cy="3037500"/>
                    </a:xfrm>
                    <a:prstGeom prst="rect"/>
                  </pic:spPr>
                </pic:pic>
              </a:graphicData>
            </a:graphic>
          </wp:inline>
        </w:drawing>
      </w:r>
    </w:p>
    <w:p>
      <w:pPr>
        <w:spacing w:after="240"/>
        <w:jc w:val="center"/>
      </w:pPr>
      <w:r>
        <w:rPr>
          <w:rFonts w:ascii="Public Sans" w:hAnsi="Public Sans"/>
          <w:b w:val="0"/>
          <w:i/>
          <w:color w:val="6B7577"/>
          <w:sz w:val="18"/>
        </w:rPr>
        <w:t>What the buyer is shown.</w:t>
      </w:r>
    </w:p>
    <w:p>
      <w:pPr>
        <w:jc w:val="center"/>
      </w:pPr>
      <w:r>
        <w:drawing>
          <wp:inline xmlns:a="http://schemas.openxmlformats.org/drawingml/2006/main" xmlns:pic="http://schemas.openxmlformats.org/drawingml/2006/picture">
            <wp:extent cx="5903999" cy="7358474"/>
            <wp:docPr id="53" name="Picture 53"/>
            <wp:cNvGraphicFramePr>
              <a:graphicFrameLocks noChangeAspect="1"/>
            </wp:cNvGraphicFramePr>
            <a:graphic>
              <a:graphicData uri="http://schemas.openxmlformats.org/drawingml/2006/picture">
                <pic:pic>
                  <pic:nvPicPr>
                    <pic:cNvPr id="0" name="warranty-cost.png"/>
                    <pic:cNvPicPr/>
                  </pic:nvPicPr>
                  <pic:blipFill>
                    <a:blip r:embed="rId51"/>
                    <a:stretch>
                      <a:fillRect/>
                    </a:stretch>
                  </pic:blipFill>
                  <pic:spPr>
                    <a:xfrm>
                      <a:off x="0" y="0"/>
                      <a:ext cx="5903999" cy="7358474"/>
                    </a:xfrm>
                    <a:prstGeom prst="rect"/>
                  </pic:spPr>
                </pic:pic>
              </a:graphicData>
            </a:graphic>
          </wp:inline>
        </w:drawing>
      </w:r>
    </w:p>
    <w:p>
      <w:pPr>
        <w:spacing w:after="240"/>
        <w:jc w:val="center"/>
      </w:pPr>
      <w:r>
        <w:rPr>
          <w:rFonts w:ascii="Public Sans" w:hAnsi="Public Sans"/>
          <w:b w:val="0"/>
          <w:i/>
          <w:color w:val="6B7577"/>
          <w:sz w:val="18"/>
        </w:rPr>
        <w:t>What warranty costs.</w:t>
      </w:r>
    </w:p>
    <w:p>
      <w:pPr>
        <w:spacing w:after="280"/>
      </w:pPr>
      <w:r>
        <w:rPr>
          <w:rFonts w:ascii="Public Sans" w:hAnsi="Public Sans"/>
          <w:b w:val="0"/>
          <w:i w:val="0"/>
          <w:color w:val="6B7577"/>
          <w:sz w:val="17"/>
        </w:rPr>
        <w:t>Source: docs/02-design/05-security-model.md, section 7.8</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54" name="Picture 54"/>
            <wp:cNvGraphicFramePr>
              <a:graphicFrameLocks noChangeAspect="1"/>
            </wp:cNvGraphicFramePr>
            <a:graphic>
              <a:graphicData uri="http://schemas.openxmlformats.org/drawingml/2006/picture">
                <pic:pic>
                  <pic:nvPicPr>
                    <pic:cNvPr id="0" name="counter.png"/>
                    <pic:cNvPicPr/>
                  </pic:nvPicPr>
                  <pic:blipFill>
                    <a:blip r:embed="rId5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55" name="Picture 55"/>
            <wp:cNvGraphicFramePr>
              <a:graphicFrameLocks noChangeAspect="1"/>
            </wp:cNvGraphicFramePr>
            <a:graphic>
              <a:graphicData uri="http://schemas.openxmlformats.org/drawingml/2006/picture">
                <pic:pic>
                  <pic:nvPicPr>
                    <pic:cNvPr id="0" name="gift-cards.png"/>
                    <pic:cNvPicPr/>
                  </pic:nvPicPr>
                  <pic:blipFill>
                    <a:blip r:embed="rId5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6352847"/>
            <wp:docPr id="56" name="Picture 56"/>
            <wp:cNvGraphicFramePr>
              <a:graphicFrameLocks noChangeAspect="1"/>
            </wp:cNvGraphicFramePr>
            <a:graphic>
              <a:graphicData uri="http://schemas.openxmlformats.org/drawingml/2006/picture">
                <pic:pic>
                  <pic:nvPicPr>
                    <pic:cNvPr id="0" name="customer.png"/>
                    <pic:cNvPicPr/>
                  </pic:nvPicPr>
                  <pic:blipFill>
                    <a:blip r:embed="rId54"/>
                    <a:stretch>
                      <a:fillRect/>
                    </a:stretch>
                  </pic:blipFill>
                  <pic:spPr>
                    <a:xfrm>
                      <a:off x="0" y="0"/>
                      <a:ext cx="5903999" cy="16352847"/>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55595991"/>
            <wp:docPr id="57" name="Picture 57"/>
            <wp:cNvGraphicFramePr>
              <a:graphicFrameLocks noChangeAspect="1"/>
            </wp:cNvGraphicFramePr>
            <a:graphic>
              <a:graphicData uri="http://schemas.openxmlformats.org/drawingml/2006/picture">
                <pic:pic>
                  <pic:nvPicPr>
                    <pic:cNvPr id="0" name="passport.png"/>
                    <pic:cNvPicPr/>
                  </pic:nvPicPr>
                  <pic:blipFill>
                    <a:blip r:embed="rId55"/>
                    <a:stretch>
                      <a:fillRect/>
                    </a:stretch>
                  </pic:blipFill>
                  <pic:spPr>
                    <a:xfrm>
                      <a:off x="0" y="0"/>
                      <a:ext cx="5903999" cy="55595991"/>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58" name="Picture 58"/>
            <wp:cNvGraphicFramePr>
              <a:graphicFrameLocks noChangeAspect="1"/>
            </wp:cNvGraphicFramePr>
            <a:graphic>
              <a:graphicData uri="http://schemas.openxmlformats.org/drawingml/2006/picture">
                <pic:pic>
                  <pic:nvPicPr>
                    <pic:cNvPr id="0" name="vehicle.png"/>
                    <pic:cNvPicPr/>
                  </pic:nvPicPr>
                  <pic:blipFill>
                    <a:blip r:embed="rId5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passports.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49846"/>
            <wp:docPr id="60" name="Picture 60"/>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49846"/>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5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139293538"/>
            <wp:docPr id="62" name="Picture 62"/>
            <wp:cNvGraphicFramePr>
              <a:graphicFrameLocks noChangeAspect="1"/>
            </wp:cNvGraphicFramePr>
            <a:graphic>
              <a:graphicData uri="http://schemas.openxmlformats.org/drawingml/2006/picture">
                <pic:pic>
                  <pic:nvPicPr>
                    <pic:cNvPr id="0" name="portal-passport.png"/>
                    <pic:cNvPicPr/>
                  </pic:nvPicPr>
                  <pic:blipFill>
                    <a:blip r:embed="rId59"/>
                    <a:stretch>
                      <a:fillRect/>
                    </a:stretch>
                  </pic:blipFill>
                  <pic:spPr>
                    <a:xfrm>
                      <a:off x="0" y="0"/>
                      <a:ext cx="2520000" cy="139293538"/>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63" name="Picture 63"/>
            <wp:cNvGraphicFramePr>
              <a:graphicFrameLocks noChangeAspect="1"/>
            </wp:cNvGraphicFramePr>
            <a:graphic>
              <a:graphicData uri="http://schemas.openxmlformats.org/drawingml/2006/picture">
                <pic:pic>
                  <pic:nvPicPr>
                    <pic:cNvPr id="0" name="reputation.png"/>
                    <pic:cNvPicPr/>
                  </pic:nvPicPr>
                  <pic:blipFill>
                    <a:blip r:embed="rId6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64" name="Picture 64"/>
            <wp:cNvGraphicFramePr>
              <a:graphicFrameLocks noChangeAspect="1"/>
            </wp:cNvGraphicFramePr>
            <a:graphic>
              <a:graphicData uri="http://schemas.openxmlformats.org/drawingml/2006/picture">
                <pic:pic>
                  <pic:nvPicPr>
                    <pic:cNvPr id="0" name="ask.png"/>
                    <pic:cNvPicPr/>
                  </pic:nvPicPr>
                  <pic:blipFill>
                    <a:blip r:embed="rId6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65" name="Picture 65"/>
            <wp:cNvGraphicFramePr>
              <a:graphicFrameLocks noChangeAspect="1"/>
            </wp:cNvGraphicFramePr>
            <a:graphic>
              <a:graphicData uri="http://schemas.openxmlformats.org/drawingml/2006/picture">
                <pic:pic>
                  <pic:nvPicPr>
                    <pic:cNvPr id="0" name="people.png"/>
                    <pic:cNvPicPr/>
                  </pic:nvPicPr>
                  <pic:blipFill>
                    <a:blip r:embed="rId6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66" name="Picture 66"/>
            <wp:cNvGraphicFramePr>
              <a:graphicFrameLocks noChangeAspect="1"/>
            </wp:cNvGraphicFramePr>
            <a:graphic>
              <a:graphicData uri="http://schemas.openxmlformats.org/drawingml/2006/picture">
                <pic:pic>
                  <pic:nvPicPr>
                    <pic:cNvPr id="0" name="business.png"/>
                    <pic:cNvPicPr/>
                  </pic:nvPicPr>
                  <pic:blipFill>
                    <a:blip r:embed="rId6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67" name="Picture 67"/>
            <wp:cNvGraphicFramePr>
              <a:graphicFrameLocks noChangeAspect="1"/>
            </wp:cNvGraphicFramePr>
            <a:graphic>
              <a:graphicData uri="http://schemas.openxmlformats.org/drawingml/2006/picture">
                <pic:pic>
                  <pic:nvPicPr>
                    <pic:cNvPr id="0" name="plan.png"/>
                    <pic:cNvPicPr/>
                  </pic:nvPicPr>
                  <pic:blipFill>
                    <a:blip r:embed="rId6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68" name="Picture 68"/>
            <wp:cNvGraphicFramePr>
              <a:graphicFrameLocks noChangeAspect="1"/>
            </wp:cNvGraphicFramePr>
            <a:graphic>
              <a:graphicData uri="http://schemas.openxmlformats.org/drawingml/2006/picture">
                <pic:pic>
                  <pic:nvPicPr>
                    <pic:cNvPr id="0" name="dashboard-dark.png"/>
                    <pic:cNvPicPr/>
                  </pic:nvPicPr>
                  <pic:blipFill>
                    <a:blip r:embed="rId6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69" name="Picture 69"/>
            <wp:cNvGraphicFramePr>
              <a:graphicFrameLocks noChangeAspect="1"/>
            </wp:cNvGraphicFramePr>
            <a:graphic>
              <a:graphicData uri="http://schemas.openxmlformats.org/drawingml/2006/picture">
                <pic:pic>
                  <pic:nvPicPr>
                    <pic:cNvPr id="0" name="not-found.png"/>
                    <pic:cNvPicPr/>
                  </pic:nvPicPr>
                  <pic:blipFill>
                    <a:blip r:embed="rId6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