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74</w:t>
            </w:r>
          </w:p>
        </w:tc>
      </w:tr>
      <w:tr>
        <w:tc>
          <w:tcPr>
            <w:tcW w:type="dxa" w:w="4759"/>
          </w:tcPr>
          <w:p>
            <w:r>
              <w:t>Functional requirements</w:t>
            </w:r>
          </w:p>
        </w:tc>
        <w:tc>
          <w:tcPr>
            <w:tcW w:type="dxa" w:w="4759"/>
          </w:tcPr>
          <w:p>
            <w:pPr>
              <w:jc w:val="right"/>
            </w:pPr>
            <w:r>
              <w:t>708</w:t>
            </w:r>
          </w:p>
        </w:tc>
      </w:tr>
      <w:tr>
        <w:tc>
          <w:tcPr>
            <w:tcW w:type="dxa" w:w="4759"/>
          </w:tcPr>
          <w:p>
            <w:r>
              <w:t>Capabilities built</w:t>
            </w:r>
          </w:p>
        </w:tc>
        <w:tc>
          <w:tcPr>
            <w:tcW w:type="dxa" w:w="4759"/>
          </w:tcPr>
          <w:p>
            <w:pPr>
              <w:jc w:val="right"/>
            </w:pPr>
            <w:r>
              <w:t>330 of 332</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