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15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112</w:t>
            </w:r>
          </w:p>
        </w:tc>
      </w:tr>
      <w:tr>
        <w:tc>
          <w:tcPr>
            <w:tcW w:type="dxa" w:w="4759"/>
          </w:tcPr>
          <w:p>
            <w:r>
              <w:t>Database tables</w:t>
            </w:r>
          </w:p>
        </w:tc>
        <w:tc>
          <w:tcPr>
            <w:tcW w:type="dxa" w:w="4759"/>
          </w:tcPr>
          <w:p>
            <w:pPr>
              <w:jc w:val="right"/>
            </w:pPr>
            <w:r>
              <w:t>138</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51</w:t>
            </w:r>
          </w:p>
        </w:tc>
      </w:tr>
      <w:tr>
        <w:tc>
          <w:tcPr>
            <w:tcW w:type="dxa" w:w="4759"/>
          </w:tcPr>
          <w:p>
            <w:r>
              <w:t>Functional requirements</w:t>
            </w:r>
          </w:p>
        </w:tc>
        <w:tc>
          <w:tcPr>
            <w:tcW w:type="dxa" w:w="4759"/>
          </w:tcPr>
          <w:p>
            <w:pPr>
              <w:jc w:val="right"/>
            </w:pPr>
            <w:r>
              <w:t>544</w:t>
            </w:r>
          </w:p>
        </w:tc>
      </w:tr>
      <w:tr>
        <w:tc>
          <w:tcPr>
            <w:tcW w:type="dxa" w:w="4759"/>
          </w:tcPr>
          <w:p>
            <w:r>
              <w:t>Capabilities built</w:t>
            </w:r>
          </w:p>
        </w:tc>
        <w:tc>
          <w:tcPr>
            <w:tcW w:type="dxa" w:w="4759"/>
          </w:tcPr>
          <w:p>
            <w:pPr>
              <w:jc w:val="right"/>
            </w:pPr>
            <w:r>
              <w:t>189 of 203</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11</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