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37.5.</w:t>
      </w:r>
    </w:p>
    <w:p>
      <w:pPr>
        <w:spacing w:after="160"/>
      </w:pPr>
      <w:r>
        <w:rPr>
          <w:rFonts w:ascii="Public Sans" w:hAnsi="Public Sans"/>
          <w:b w:val="0"/>
          <w:i w:val="0"/>
          <w:color w:val="6B7577"/>
          <w:sz w:val="19"/>
        </w:rPr>
        <w:t>138 tables, 68 enumerations, 2169 columns; 45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138 tables in 12 domains, 68 enumerations, 2169 columns, defined in packages/db/prisma/schema.prisma and applied by 45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882834"/>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82834"/>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bl>
    <w:p>
      <w:pPr>
        <w:spacing w:after="80"/>
      </w:pPr>
    </w:p>
    <w:p>
      <w:r>
        <w:br w:type="page"/>
      </w:r>
    </w:p>
    <w:p>
      <w:pPr>
        <w:jc w:val="center"/>
      </w:pPr>
      <w:r>
        <w:drawing>
          <wp:inline xmlns:a="http://schemas.openxmlformats.org/drawingml/2006/main" xmlns:pic="http://schemas.openxmlformats.org/drawingml/2006/picture">
            <wp:extent cx="9108000" cy="273782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73782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5347540" cy="58319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5347540" cy="58319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652425"/>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652425"/>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7597612"/>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7597612"/>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4032866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403286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152492"/>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152492"/>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640615"/>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640615"/>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232696246"/>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232696246"/>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eight pages read in each language for the root element's direction and a known sentence,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