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11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74</w:t>
            </w:r>
          </w:p>
        </w:tc>
      </w:tr>
      <w:tr>
        <w:tc>
          <w:tcPr>
            <w:tcW w:type="dxa" w:w="4759"/>
          </w:tcPr>
          <w:p>
            <w:r>
              <w:t>Database tables</w:t>
            </w:r>
          </w:p>
        </w:tc>
        <w:tc>
          <w:tcPr>
            <w:tcW w:type="dxa" w:w="4759"/>
          </w:tcPr>
          <w:p>
            <w:pPr>
              <w:jc w:val="right"/>
            </w:pPr>
            <w:r>
              <w:t>111</w:t>
            </w:r>
          </w:p>
        </w:tc>
      </w:tr>
      <w:tr>
        <w:tc>
          <w:tcPr>
            <w:tcW w:type="dxa" w:w="4759"/>
          </w:tcPr>
          <w:p>
            <w:r>
              <w:t>Domain tests</w:t>
            </w:r>
          </w:p>
        </w:tc>
        <w:tc>
          <w:tcPr>
            <w:tcW w:type="dxa" w:w="4759"/>
          </w:tcPr>
          <w:p>
            <w:pPr>
              <w:jc w:val="right"/>
            </w:pPr>
            <w:r>
              <w:t>974</w:t>
            </w:r>
          </w:p>
        </w:tc>
      </w:tr>
      <w:tr>
        <w:tc>
          <w:tcPr>
            <w:tcW w:type="dxa" w:w="4759"/>
          </w:tcPr>
          <w:p>
            <w:r>
              <w:t>Database invariant probes</w:t>
            </w:r>
          </w:p>
        </w:tc>
        <w:tc>
          <w:tcPr>
            <w:tcW w:type="dxa" w:w="4759"/>
          </w:tcPr>
          <w:p>
            <w:pPr>
              <w:jc w:val="right"/>
            </w:pPr>
            <w:r>
              <w:t>21</w:t>
            </w:r>
          </w:p>
        </w:tc>
      </w:tr>
      <w:tr>
        <w:tc>
          <w:tcPr>
            <w:tcW w:type="dxa" w:w="4759"/>
          </w:tcPr>
          <w:p>
            <w:r>
              <w:t>Functional requirements</w:t>
            </w:r>
          </w:p>
        </w:tc>
        <w:tc>
          <w:tcPr>
            <w:tcW w:type="dxa" w:w="4759"/>
          </w:tcPr>
          <w:p>
            <w:pPr>
              <w:jc w:val="right"/>
            </w:pPr>
            <w:r>
              <w:t>337</w:t>
            </w:r>
          </w:p>
        </w:tc>
      </w:tr>
      <w:tr>
        <w:tc>
          <w:tcPr>
            <w:tcW w:type="dxa" w:w="4759"/>
          </w:tcPr>
          <w:p>
            <w:r>
              <w:t>Capabilities built</w:t>
            </w:r>
          </w:p>
        </w:tc>
        <w:tc>
          <w:tcPr>
            <w:tcW w:type="dxa" w:w="4759"/>
          </w:tcPr>
          <w:p>
            <w:pPr>
              <w:jc w:val="right"/>
            </w:pPr>
            <w:r>
              <w:t>117 of 135</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16</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