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98</w:t>
            </w:r>
          </w:p>
        </w:tc>
      </w:tr>
      <w:tr>
        <w:tc>
          <w:tcPr>
            <w:tcW w:type="dxa" w:w="4759"/>
          </w:tcPr>
          <w:p>
            <w:r>
              <w:t>Database tables</w:t>
            </w:r>
          </w:p>
        </w:tc>
        <w:tc>
          <w:tcPr>
            <w:tcW w:type="dxa" w:w="4759"/>
          </w:tcPr>
          <w:p>
            <w:pPr>
              <w:jc w:val="right"/>
            </w:pPr>
            <w:r>
              <w:t>125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39</w:t>
            </w:r>
          </w:p>
        </w:tc>
      </w:tr>
      <w:tr>
        <w:tc>
          <w:tcPr>
            <w:tcW w:type="dxa" w:w="4759"/>
          </w:tcPr>
          <w:p>
            <w:r>
              <w:t>Functional requirements</w:t>
            </w:r>
          </w:p>
        </w:tc>
        <w:tc>
          <w:tcPr>
            <w:tcW w:type="dxa" w:w="4759"/>
          </w:tcPr>
          <w:p>
            <w:pPr>
              <w:jc w:val="right"/>
            </w:pPr>
            <w:r>
              <w:t>465</w:t>
            </w:r>
          </w:p>
        </w:tc>
      </w:tr>
      <w:tr>
        <w:tc>
          <w:tcPr>
            <w:tcW w:type="dxa" w:w="4759"/>
          </w:tcPr>
          <w:p>
            <w:r>
              <w:t>Capabilities built</w:t>
            </w:r>
          </w:p>
        </w:tc>
        <w:tc>
          <w:tcPr>
            <w:tcW w:type="dxa" w:w="4759"/>
          </w:tcPr>
          <w:p>
            <w:pPr>
              <w:jc w:val="right"/>
            </w:pPr>
            <w:r>
              <w:t>155 of 186</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26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