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113</w:t>
            </w:r>
          </w:p>
        </w:tc>
      </w:tr>
      <w:tr>
        <w:tc>
          <w:tcPr>
            <w:tcW w:type="dxa" w:w="4759"/>
          </w:tcPr>
          <w:p>
            <w:r>
              <w:t>Database tables</w:t>
            </w:r>
          </w:p>
        </w:tc>
        <w:tc>
          <w:tcPr>
            <w:tcW w:type="dxa" w:w="4759"/>
          </w:tcPr>
          <w:p>
            <w:pPr>
              <w:jc w:val="right"/>
            </w:pPr>
            <w:r>
              <w:t>142</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52</w:t>
            </w:r>
          </w:p>
        </w:tc>
      </w:tr>
      <w:tr>
        <w:tc>
          <w:tcPr>
            <w:tcW w:type="dxa" w:w="4759"/>
          </w:tcPr>
          <w:p>
            <w:r>
              <w:t>Functional requirements</w:t>
            </w:r>
          </w:p>
        </w:tc>
        <w:tc>
          <w:tcPr>
            <w:tcW w:type="dxa" w:w="4759"/>
          </w:tcPr>
          <w:p>
            <w:pPr>
              <w:jc w:val="right"/>
            </w:pPr>
            <w:r>
              <w:t>551</w:t>
            </w:r>
          </w:p>
        </w:tc>
      </w:tr>
      <w:tr>
        <w:tc>
          <w:tcPr>
            <w:tcW w:type="dxa" w:w="4759"/>
          </w:tcPr>
          <w:p>
            <w:r>
              <w:t>Capabilities built</w:t>
            </w:r>
          </w:p>
        </w:tc>
        <w:tc>
          <w:tcPr>
            <w:tcW w:type="dxa" w:w="4759"/>
          </w:tcPr>
          <w:p>
            <w:pPr>
              <w:jc w:val="right"/>
            </w:pPr>
            <w:r>
              <w:t>193 of 205</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9</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