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99</w:t>
            </w:r>
          </w:p>
        </w:tc>
      </w:tr>
      <w:tr>
        <w:tc>
          <w:tcPr>
            <w:tcW w:type="dxa" w:w="4759"/>
          </w:tcPr>
          <w:p>
            <w:r>
              <w:t>Database tables</w:t>
            </w:r>
          </w:p>
        </w:tc>
        <w:tc>
          <w:tcPr>
            <w:tcW w:type="dxa" w:w="4759"/>
          </w:tcPr>
          <w:p>
            <w:pPr>
              <w:jc w:val="right"/>
            </w:pPr>
            <w:r>
              <w:t>127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41</w:t>
            </w:r>
          </w:p>
        </w:tc>
      </w:tr>
      <w:tr>
        <w:tc>
          <w:tcPr>
            <w:tcW w:type="dxa" w:w="4759"/>
          </w:tcPr>
          <w:p>
            <w:r>
              <w:t>Functional requirements</w:t>
            </w:r>
          </w:p>
        </w:tc>
        <w:tc>
          <w:tcPr>
            <w:tcW w:type="dxa" w:w="4759"/>
          </w:tcPr>
          <w:p>
            <w:pPr>
              <w:jc w:val="right"/>
            </w:pPr>
            <w:r>
              <w:t>484</w:t>
            </w:r>
          </w:p>
        </w:tc>
      </w:tr>
      <w:tr>
        <w:tc>
          <w:tcPr>
            <w:tcW w:type="dxa" w:w="4759"/>
          </w:tcPr>
          <w:p>
            <w:r>
              <w:t>Capabilities built</w:t>
            </w:r>
          </w:p>
        </w:tc>
        <w:tc>
          <w:tcPr>
            <w:tcW w:type="dxa" w:w="4759"/>
          </w:tcPr>
          <w:p>
            <w:pPr>
              <w:jc w:val="right"/>
            </w:pPr>
            <w:r>
              <w:t>160 of 187</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22</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