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25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130</w:t>
            </w:r>
          </w:p>
        </w:tc>
      </w:tr>
      <w:tr>
        <w:tc>
          <w:tcPr>
            <w:tcW w:type="dxa" w:w="4759"/>
          </w:tcPr>
          <w:p>
            <w:r>
              <w:t>Database tables</w:t>
            </w:r>
          </w:p>
        </w:tc>
        <w:tc>
          <w:tcPr>
            <w:tcW w:type="dxa" w:w="4759"/>
          </w:tcPr>
          <w:p>
            <w:pPr>
              <w:jc w:val="right"/>
            </w:pPr>
            <w:r>
              <w:t>157</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90</w:t>
            </w:r>
          </w:p>
        </w:tc>
      </w:tr>
      <w:tr>
        <w:tc>
          <w:tcPr>
            <w:tcW w:type="dxa" w:w="4759"/>
          </w:tcPr>
          <w:p>
            <w:r>
              <w:t>Functional requirements</w:t>
            </w:r>
          </w:p>
        </w:tc>
        <w:tc>
          <w:tcPr>
            <w:tcW w:type="dxa" w:w="4759"/>
          </w:tcPr>
          <w:p>
            <w:pPr>
              <w:jc w:val="right"/>
            </w:pPr>
            <w:r>
              <w:t>809</w:t>
            </w:r>
          </w:p>
        </w:tc>
      </w:tr>
      <w:tr>
        <w:tc>
          <w:tcPr>
            <w:tcW w:type="dxa" w:w="4759"/>
          </w:tcPr>
          <w:p>
            <w:r>
              <w:t>Capabilities built</w:t>
            </w:r>
          </w:p>
        </w:tc>
        <w:tc>
          <w:tcPr>
            <w:tcW w:type="dxa" w:w="4759"/>
          </w:tcPr>
          <w:p>
            <w:pPr>
              <w:jc w:val="right"/>
            </w:pPr>
            <w:r>
              <w:t>421 of 425</w:t>
            </w:r>
          </w:p>
        </w:tc>
      </w:tr>
      <w:tr>
        <w:tc>
          <w:tcPr>
            <w:tcW w:type="dxa" w:w="4759"/>
          </w:tcPr>
          <w:p>
            <w:r>
              <w:t>Capabilities partial</w:t>
            </w:r>
          </w:p>
        </w:tc>
        <w:tc>
          <w:tcPr>
            <w:tcW w:type="dxa" w:w="4759"/>
          </w:tcPr>
          <w:p>
            <w:pPr>
              <w:jc w:val="right"/>
            </w:pPr>
            <w:r>
              <w:t>3</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