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551"/>
            <w:shd w:val="clear" w:fill="ECEFF0"/>
          </w:tcPr>
          <w:p>
            <w:r/>
            <w:r>
              <w:rPr>
                <w:rFonts w:ascii="Arial" w:hAnsi="Arial"/>
                <w:b/>
                <w:color w:val="0D3B3F"/>
                <w:sz w:val="15"/>
              </w:rPr>
              <w:t>ROLE</w:t>
            </w:r>
          </w:p>
        </w:tc>
        <w:tc>
          <w:tcPr>
            <w:tcW w:type="dxa" w:w="850"/>
            <w:shd w:val="clear" w:fill="ECEFF0"/>
          </w:tcPr>
          <w:p>
            <w:r/>
            <w:r>
              <w:rPr>
                <w:rFonts w:ascii="Arial" w:hAnsi="Arial"/>
                <w:b/>
                <w:color w:val="0D3B3F"/>
                <w:sz w:val="15"/>
              </w:rPr>
              <w:t>FTE</w:t>
            </w:r>
          </w:p>
        </w:tc>
        <w:tc>
          <w:tcPr>
            <w:tcW w:type="dxa" w:w="1020"/>
            <w:shd w:val="clear" w:fill="ECEFF0"/>
          </w:tcPr>
          <w:p>
            <w:r/>
            <w:r>
              <w:rPr>
                <w:rFonts w:ascii="Arial" w:hAnsi="Arial"/>
                <w:b/>
                <w:color w:val="0D3B3F"/>
                <w:sz w:val="15"/>
              </w:rPr>
              <w:t>WEEKS</w:t>
            </w:r>
          </w:p>
        </w:tc>
        <w:tc>
          <w:tcPr>
            <w:tcW w:type="dxa" w:w="4649"/>
            <w:shd w:val="clear" w:fill="ECEFF0"/>
          </w:tcPr>
          <w:p>
            <w:r/>
            <w:r>
              <w:rPr>
                <w:rFonts w:ascii="Arial" w:hAnsi="Arial"/>
                <w:b/>
                <w:color w:val="0D3B3F"/>
                <w:sz w:val="15"/>
              </w:rPr>
              <w:t>RESPONSIBILITY</w:t>
            </w:r>
          </w:p>
        </w:tc>
      </w:tr>
      <w:tr>
        <w:tc>
          <w:tcPr>
            <w:tcW w:type="dxa" w:w="2551"/>
          </w:tcPr>
          <w:p>
            <w:r/>
            <w:r>
              <w:rPr>
                <w:rFonts w:ascii="Georgia" w:hAnsi="Georgia"/>
                <w:color w:val="101718"/>
                <w:sz w:val="18"/>
              </w:rPr>
              <w:t>Tech lead / architect</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Domain model, architecture, review, the hard parts</w:t>
            </w:r>
          </w:p>
        </w:tc>
      </w:tr>
      <w:tr>
        <w:tc>
          <w:tcPr>
            <w:tcW w:type="dxa" w:w="2551"/>
          </w:tcPr>
          <w:p>
            <w:r/>
            <w:r>
              <w:rPr>
                <w:rFonts w:ascii="Georgia" w:hAnsi="Georgia"/>
                <w:color w:val="101718"/>
                <w:sz w:val="18"/>
              </w:rPr>
              <w:t>Senior 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Feature delivery across the stack</w:t>
            </w:r>
          </w:p>
        </w:tc>
      </w:tr>
      <w:tr>
        <w:tc>
          <w:tcPr>
            <w:tcW w:type="dxa" w:w="2551"/>
          </w:tcPr>
          <w:p>
            <w:r/>
            <w:r>
              <w:rPr>
                <w:rFonts w:ascii="Georgia" w:hAnsi="Georgia"/>
                <w:color w:val="101718"/>
                <w:sz w:val="18"/>
              </w:rPr>
              <w:t>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24</w:t>
            </w:r>
          </w:p>
        </w:tc>
        <w:tc>
          <w:tcPr>
            <w:tcW w:type="dxa" w:w="4649"/>
          </w:tcPr>
          <w:p>
            <w:r/>
            <w:r>
              <w:rPr>
                <w:rFonts w:ascii="Georgia" w:hAnsi="Georgia"/>
                <w:color w:val="101718"/>
                <w:sz w:val="18"/>
              </w:rPr>
              <w:t>Feature delivery, from week 5</w:t>
            </w:r>
          </w:p>
        </w:tc>
      </w:tr>
      <w:tr>
        <w:tc>
          <w:tcPr>
            <w:tcW w:type="dxa" w:w="2551"/>
          </w:tcPr>
          <w:p>
            <w:r/>
            <w:r>
              <w:rPr>
                <w:rFonts w:ascii="Georgia" w:hAnsi="Georgia"/>
                <w:color w:val="101718"/>
                <w:sz w:val="18"/>
              </w:rPr>
              <w:t>Product designer</w:t>
            </w:r>
          </w:p>
        </w:tc>
        <w:tc>
          <w:tcPr>
            <w:tcW w:type="dxa" w:w="850"/>
          </w:tcPr>
          <w:p>
            <w:r/>
            <w:r>
              <w:rPr>
                <w:rFonts w:ascii="Georgia" w:hAnsi="Georgia"/>
                <w:color w:val="101718"/>
                <w:sz w:val="18"/>
              </w:rPr>
              <w:t>0.5</w:t>
            </w:r>
          </w:p>
        </w:tc>
        <w:tc>
          <w:tcPr>
            <w:tcW w:type="dxa" w:w="1020"/>
          </w:tcPr>
          <w:p>
            <w:r/>
            <w:r>
              <w:rPr>
                <w:rFonts w:ascii="Georgia" w:hAnsi="Georgia"/>
                <w:color w:val="101718"/>
                <w:sz w:val="18"/>
              </w:rPr>
              <w:t>20</w:t>
            </w:r>
          </w:p>
        </w:tc>
        <w:tc>
          <w:tcPr>
            <w:tcW w:type="dxa" w:w="4649"/>
          </w:tcPr>
          <w:p>
            <w:r/>
            <w:r>
              <w:rPr>
                <w:rFonts w:ascii="Georgia" w:hAnsi="Georgia"/>
                <w:color w:val="101718"/>
                <w:sz w:val="18"/>
              </w:rPr>
              <w:t>Design system, screen design, usability testing</w:t>
            </w:r>
          </w:p>
        </w:tc>
      </w:tr>
      <w:tr>
        <w:tc>
          <w:tcPr>
            <w:tcW w:type="dxa" w:w="2551"/>
          </w:tcPr>
          <w:p>
            <w:r/>
            <w:r>
              <w:rPr>
                <w:rFonts w:ascii="Georgia" w:hAnsi="Georgia"/>
                <w:color w:val="101718"/>
                <w:sz w:val="18"/>
              </w:rPr>
              <w:t>QA engineer</w:t>
            </w:r>
          </w:p>
        </w:tc>
        <w:tc>
          <w:tcPr>
            <w:tcW w:type="dxa" w:w="850"/>
          </w:tcPr>
          <w:p>
            <w:r/>
            <w:r>
              <w:rPr>
                <w:rFonts w:ascii="Georgia" w:hAnsi="Georgia"/>
                <w:color w:val="101718"/>
                <w:sz w:val="18"/>
              </w:rPr>
              <w:t>0.5</w:t>
            </w:r>
          </w:p>
        </w:tc>
        <w:tc>
          <w:tcPr>
            <w:tcW w:type="dxa" w:w="1020"/>
          </w:tcPr>
          <w:p>
            <w:r/>
            <w:r>
              <w:rPr>
                <w:rFonts w:ascii="Georgia" w:hAnsi="Georgia"/>
                <w:color w:val="101718"/>
                <w:sz w:val="18"/>
              </w:rPr>
              <w:t>22</w:t>
            </w:r>
          </w:p>
        </w:tc>
        <w:tc>
          <w:tcPr>
            <w:tcW w:type="dxa" w:w="4649"/>
          </w:tcPr>
          <w:p>
            <w:r/>
            <w:r>
              <w:rPr>
                <w:rFonts w:ascii="Georgia" w:hAnsi="Georgia"/>
                <w:color w:val="101718"/>
                <w:sz w:val="18"/>
              </w:rPr>
              <w:t>Test strategy, automation, exploratory testing</w:t>
            </w:r>
          </w:p>
        </w:tc>
      </w:tr>
      <w:tr>
        <w:tc>
          <w:tcPr>
            <w:tcW w:type="dxa" w:w="2551"/>
          </w:tcPr>
          <w:p>
            <w:r/>
            <w:r>
              <w:rPr>
                <w:rFonts w:ascii="Georgia" w:hAnsi="Georgia"/>
                <w:color w:val="101718"/>
                <w:sz w:val="18"/>
              </w:rPr>
              <w:t>Product owner</w:t>
            </w:r>
          </w:p>
        </w:tc>
        <w:tc>
          <w:tcPr>
            <w:tcW w:type="dxa" w:w="850"/>
          </w:tcPr>
          <w:p>
            <w:r/>
            <w:r>
              <w:rPr>
                <w:rFonts w:ascii="Georgia" w:hAnsi="Georgia"/>
                <w:color w:val="101718"/>
                <w:sz w:val="18"/>
              </w:rPr>
              <w:t>0.2</w:t>
            </w:r>
          </w:p>
        </w:tc>
        <w:tc>
          <w:tcPr>
            <w:tcW w:type="dxa" w:w="1020"/>
          </w:tcPr>
          <w:p>
            <w:r/>
            <w:r>
              <w:rPr>
                <w:rFonts w:ascii="Georgia" w:hAnsi="Georgia"/>
                <w:color w:val="101718"/>
                <w:sz w:val="18"/>
              </w:rPr>
              <w:t>28</w:t>
            </w:r>
          </w:p>
        </w:tc>
        <w:tc>
          <w:tcPr>
            <w:tcW w:type="dxa" w:w="4649"/>
          </w:tcPr>
          <w:p>
            <w:r/>
            <w:r>
              <w:rPr>
                <w:rFonts w:ascii="Georgia" w:hAnsi="Georgia"/>
                <w:color w:val="101718"/>
                <w:sz w:val="18"/>
              </w:rPr>
              <w:t>Prioritisation, acceptance, design partners</w:t>
            </w:r>
          </w:p>
        </w:tc>
      </w:tr>
    </w:tbl>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tbl>
      <w:tblPr>
        <w:tblStyle w:val="TableGrid"/>
        <w:tblW w:type="auto" w:w="0"/>
        <w:jc w:val="left"/>
        <w:tblLayout w:type="autofit"/>
        <w:tblLook w:firstColumn="1" w:firstRow="1" w:lastColumn="0" w:lastRow="0" w:noHBand="0" w:noVBand="1" w:val="04A0"/>
      </w:tblPr>
      <w:tblGrid>
        <w:gridCol w:w="4759"/>
        <w:gridCol w:w="4759"/>
      </w:tblGrid>
      <w:tr>
        <w:tc>
          <w:tcPr>
            <w:tcW w:type="dxa" w:w="1134"/>
            <w:shd w:val="clear" w:fill="ECEFF0"/>
          </w:tcPr>
          <w:p>
            <w:r/>
            <w:r>
              <w:rPr>
                <w:rFonts w:ascii="Arial" w:hAnsi="Arial"/>
                <w:b/>
                <w:color w:val="0D3B3F"/>
                <w:sz w:val="15"/>
              </w:rPr>
              <w:t>WEEK</w:t>
            </w:r>
          </w:p>
        </w:tc>
        <w:tc>
          <w:tcPr>
            <w:tcW w:type="dxa" w:w="7937"/>
            <w:shd w:val="clear" w:fill="ECEFF0"/>
          </w:tcPr>
          <w:p>
            <w:r/>
            <w:r>
              <w:rPr>
                <w:rFonts w:ascii="Arial" w:hAnsi="Arial"/>
                <w:b/>
                <w:color w:val="0D3B3F"/>
                <w:sz w:val="15"/>
              </w:rPr>
              <w:t>MILESTONE</w:t>
            </w:r>
          </w:p>
        </w:tc>
      </w:tr>
      <w:tr>
        <w:tc>
          <w:tcPr>
            <w:tcW w:type="dxa" w:w="1134"/>
          </w:tcPr>
          <w:p>
            <w:r/>
            <w:r>
              <w:rPr>
                <w:rFonts w:ascii="Georgia" w:hAnsi="Georgia"/>
                <w:color w:val="101718"/>
                <w:sz w:val="18"/>
              </w:rPr>
              <w:t>2</w:t>
            </w:r>
          </w:p>
        </w:tc>
        <w:tc>
          <w:tcPr>
            <w:tcW w:type="dxa" w:w="7937"/>
          </w:tcPr>
          <w:p>
            <w:r/>
            <w:r>
              <w:rPr>
                <w:rFonts w:ascii="Georgia" w:hAnsi="Georgia"/>
                <w:color w:val="101718"/>
                <w:sz w:val="18"/>
              </w:rPr>
              <w:t>Design system approved; domain model reviewed with design partners</w:t>
            </w:r>
          </w:p>
        </w:tc>
      </w:tr>
      <w:tr>
        <w:tc>
          <w:tcPr>
            <w:tcW w:type="dxa" w:w="1134"/>
          </w:tcPr>
          <w:p>
            <w:r/>
            <w:r>
              <w:rPr>
                <w:rFonts w:ascii="Georgia" w:hAnsi="Georgia"/>
                <w:color w:val="101718"/>
                <w:sz w:val="18"/>
              </w:rPr>
              <w:t>4</w:t>
            </w:r>
          </w:p>
        </w:tc>
        <w:tc>
          <w:tcPr>
            <w:tcW w:type="dxa" w:w="7937"/>
          </w:tcPr>
          <w:p>
            <w:r/>
            <w:r>
              <w:rPr>
                <w:rFonts w:ascii="Georgia" w:hAnsi="Georgia"/>
                <w:color w:val="101718"/>
                <w:sz w:val="18"/>
              </w:rPr>
              <w:t>Architecture and data model signed off; walking skeleton deployed</w:t>
            </w:r>
          </w:p>
        </w:tc>
      </w:tr>
      <w:tr>
        <w:tc>
          <w:tcPr>
            <w:tcW w:type="dxa" w:w="1134"/>
            <w:shd w:val="clear" w:fill="E2ECEC"/>
          </w:tcPr>
          <w:p>
            <w:r/>
            <w:r>
              <w:rPr>
                <w:rFonts w:ascii="Georgia" w:hAnsi="Georgia"/>
                <w:b/>
                <w:color w:val="101718"/>
                <w:sz w:val="18"/>
              </w:rPr>
              <w:t>10</w:t>
            </w:r>
          </w:p>
        </w:tc>
        <w:tc>
          <w:tcPr>
            <w:tcW w:type="dxa" w:w="7937"/>
            <w:shd w:val="clear" w:fill="E2ECEC"/>
          </w:tcPr>
          <w:p>
            <w:r/>
            <w:r>
              <w:rPr>
                <w:rFonts w:ascii="Georgia" w:hAnsi="Georgia"/>
                <w:b w:val="0"/>
                <w:color w:val="101718"/>
                <w:sz w:val="18"/>
              </w:rPr>
              <w:t>Phase 1 accepted — MVP live with design partners</w:t>
            </w:r>
          </w:p>
        </w:tc>
      </w:tr>
      <w:tr>
        <w:tc>
          <w:tcPr>
            <w:tcW w:type="dxa" w:w="1134"/>
          </w:tcPr>
          <w:p>
            <w:r/>
            <w:r>
              <w:rPr>
                <w:rFonts w:ascii="Georgia" w:hAnsi="Georgia"/>
                <w:color w:val="101718"/>
                <w:sz w:val="18"/>
              </w:rPr>
              <w:t>18</w:t>
            </w:r>
          </w:p>
        </w:tc>
        <w:tc>
          <w:tcPr>
            <w:tcW w:type="dxa" w:w="7937"/>
          </w:tcPr>
          <w:p>
            <w:r/>
            <w:r>
              <w:rPr>
                <w:rFonts w:ascii="Georgia" w:hAnsi="Georgia"/>
                <w:color w:val="101718"/>
                <w:sz w:val="18"/>
              </w:rPr>
              <w:t>Phase 2 accepted</w:t>
            </w:r>
          </w:p>
        </w:tc>
      </w:tr>
      <w:tr>
        <w:tc>
          <w:tcPr>
            <w:tcW w:type="dxa" w:w="1134"/>
            <w:shd w:val="clear" w:fill="E2ECEC"/>
          </w:tcPr>
          <w:p>
            <w:r/>
            <w:r>
              <w:rPr>
                <w:rFonts w:ascii="Georgia" w:hAnsi="Georgia"/>
                <w:b/>
                <w:color w:val="101718"/>
                <w:sz w:val="18"/>
              </w:rPr>
              <w:t>20</w:t>
            </w:r>
          </w:p>
        </w:tc>
        <w:tc>
          <w:tcPr>
            <w:tcW w:type="dxa" w:w="7937"/>
            <w:shd w:val="clear" w:fill="E2ECEC"/>
          </w:tcPr>
          <w:p>
            <w:r/>
            <w:r>
              <w:rPr>
                <w:rFonts w:ascii="Georgia" w:hAnsi="Georgia"/>
                <w:b w:val="0"/>
                <w:color w:val="101718"/>
                <w:sz w:val="18"/>
              </w:rPr>
              <w:t>First paying customer; pricing validated</w:t>
            </w:r>
          </w:p>
        </w:tc>
      </w:tr>
      <w:tr>
        <w:tc>
          <w:tcPr>
            <w:tcW w:type="dxa" w:w="1134"/>
            <w:shd w:val="clear" w:fill="E2ECEC"/>
          </w:tcPr>
          <w:p>
            <w:r/>
            <w:r>
              <w:rPr>
                <w:rFonts w:ascii="Georgia" w:hAnsi="Georgia"/>
                <w:b/>
                <w:color w:val="101718"/>
                <w:sz w:val="18"/>
              </w:rPr>
              <w:t>28</w:t>
            </w:r>
          </w:p>
        </w:tc>
        <w:tc>
          <w:tcPr>
            <w:tcW w:type="dxa" w:w="7937"/>
            <w:shd w:val="clear" w:fill="E2ECEC"/>
          </w:tcPr>
          <w:p>
            <w:r/>
            <w:r>
              <w:rPr>
                <w:rFonts w:ascii="Georgia" w:hAnsi="Georgia"/>
                <w:b w:val="0"/>
                <w:color w:val="101718"/>
                <w:sz w:val="18"/>
              </w:rPr>
              <w:t>Phase 3 accepted — commercially complete platform</w:t>
            </w:r>
          </w:p>
        </w:tc>
      </w:tr>
    </w:tbl>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11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68</w:t>
            </w:r>
          </w:p>
        </w:tc>
      </w:tr>
      <w:tr>
        <w:tc>
          <w:tcPr>
            <w:tcW w:type="dxa" w:w="4759"/>
          </w:tcPr>
          <w:p>
            <w:r>
              <w:t>Database tables</w:t>
            </w:r>
          </w:p>
        </w:tc>
        <w:tc>
          <w:tcPr>
            <w:tcW w:type="dxa" w:w="4759"/>
          </w:tcPr>
          <w:p>
            <w:pPr>
              <w:jc w:val="right"/>
            </w:pPr>
            <w:r>
              <w:t>105</w:t>
            </w:r>
          </w:p>
        </w:tc>
      </w:tr>
      <w:tr>
        <w:tc>
          <w:tcPr>
            <w:tcW w:type="dxa" w:w="4759"/>
          </w:tcPr>
          <w:p>
            <w:r>
              <w:t>Domain tests</w:t>
            </w:r>
          </w:p>
        </w:tc>
        <w:tc>
          <w:tcPr>
            <w:tcW w:type="dxa" w:w="4759"/>
          </w:tcPr>
          <w:p>
            <w:pPr>
              <w:jc w:val="right"/>
            </w:pPr>
            <w:r>
              <w:t>856</w:t>
            </w:r>
          </w:p>
        </w:tc>
      </w:tr>
      <w:tr>
        <w:tc>
          <w:tcPr>
            <w:tcW w:type="dxa" w:w="4759"/>
          </w:tcPr>
          <w:p>
            <w:r>
              <w:t>Database invariant probes</w:t>
            </w:r>
          </w:p>
        </w:tc>
        <w:tc>
          <w:tcPr>
            <w:tcW w:type="dxa" w:w="4759"/>
          </w:tcPr>
          <w:p>
            <w:pPr>
              <w:jc w:val="right"/>
            </w:pPr>
            <w:r>
              <w:t>18</w:t>
            </w:r>
          </w:p>
        </w:tc>
      </w:tr>
      <w:tr>
        <w:tc>
          <w:tcPr>
            <w:tcW w:type="dxa" w:w="4759"/>
          </w:tcPr>
          <w:p>
            <w:r>
              <w:t>Functional requirements</w:t>
            </w:r>
          </w:p>
        </w:tc>
        <w:tc>
          <w:tcPr>
            <w:tcW w:type="dxa" w:w="4759"/>
          </w:tcPr>
          <w:p>
            <w:pPr>
              <w:jc w:val="right"/>
            </w:pPr>
            <w:r>
              <w:t>306</w:t>
            </w:r>
          </w:p>
        </w:tc>
      </w:tr>
      <w:tr>
        <w:tc>
          <w:tcPr>
            <w:tcW w:type="dxa" w:w="4759"/>
          </w:tcPr>
          <w:p>
            <w:r>
              <w:t>Capabilities built</w:t>
            </w:r>
          </w:p>
        </w:tc>
        <w:tc>
          <w:tcPr>
            <w:tcW w:type="dxa" w:w="4759"/>
          </w:tcPr>
          <w:p>
            <w:pPr>
              <w:jc w:val="right"/>
            </w:pPr>
            <w:r>
              <w:t>94 of 114</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17</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