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69</w:t>
            </w:r>
          </w:p>
        </w:tc>
      </w:tr>
      <w:tr>
        <w:tc>
          <w:tcPr>
            <w:tcW w:type="dxa" w:w="4759"/>
          </w:tcPr>
          <w:p>
            <w:r>
              <w:t>Database tables</w:t>
            </w:r>
          </w:p>
        </w:tc>
        <w:tc>
          <w:tcPr>
            <w:tcW w:type="dxa" w:w="4759"/>
          </w:tcPr>
          <w:p>
            <w:pPr>
              <w:jc w:val="right"/>
            </w:pPr>
            <w:r>
              <w:t>106</w:t>
            </w:r>
          </w:p>
        </w:tc>
      </w:tr>
      <w:tr>
        <w:tc>
          <w:tcPr>
            <w:tcW w:type="dxa" w:w="4759"/>
          </w:tcPr>
          <w:p>
            <w:r>
              <w:t>Domain tests</w:t>
            </w:r>
          </w:p>
        </w:tc>
        <w:tc>
          <w:tcPr>
            <w:tcW w:type="dxa" w:w="4759"/>
          </w:tcPr>
          <w:p>
            <w:pPr>
              <w:jc w:val="right"/>
            </w:pPr>
            <w:r>
              <w:t>894</w:t>
            </w:r>
          </w:p>
        </w:tc>
      </w:tr>
      <w:tr>
        <w:tc>
          <w:tcPr>
            <w:tcW w:type="dxa" w:w="4759"/>
          </w:tcPr>
          <w:p>
            <w:r>
              <w:t>Database invariant probes</w:t>
            </w:r>
          </w:p>
        </w:tc>
        <w:tc>
          <w:tcPr>
            <w:tcW w:type="dxa" w:w="4759"/>
          </w:tcPr>
          <w:p>
            <w:pPr>
              <w:jc w:val="right"/>
            </w:pPr>
            <w:r>
              <w:t>19</w:t>
            </w:r>
          </w:p>
        </w:tc>
      </w:tr>
      <w:tr>
        <w:tc>
          <w:tcPr>
            <w:tcW w:type="dxa" w:w="4759"/>
          </w:tcPr>
          <w:p>
            <w:r>
              <w:t>Functional requirements</w:t>
            </w:r>
          </w:p>
        </w:tc>
        <w:tc>
          <w:tcPr>
            <w:tcW w:type="dxa" w:w="4759"/>
          </w:tcPr>
          <w:p>
            <w:pPr>
              <w:jc w:val="right"/>
            </w:pPr>
            <w:r>
              <w:t>314</w:t>
            </w:r>
          </w:p>
        </w:tc>
      </w:tr>
      <w:tr>
        <w:tc>
          <w:tcPr>
            <w:tcW w:type="dxa" w:w="4759"/>
          </w:tcPr>
          <w:p>
            <w:r>
              <w:t>Capabilities built</w:t>
            </w:r>
          </w:p>
        </w:tc>
        <w:tc>
          <w:tcPr>
            <w:tcW w:type="dxa" w:w="4759"/>
          </w:tcPr>
          <w:p>
            <w:pPr>
              <w:jc w:val="right"/>
            </w:pPr>
            <w:r>
              <w:t>104 of 125</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18</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