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30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138</w:t>
            </w:r>
          </w:p>
        </w:tc>
      </w:tr>
      <w:tr>
        <w:tc>
          <w:tcPr>
            <w:tcW w:type="dxa" w:w="4759"/>
          </w:tcPr>
          <w:p>
            <w:r>
              <w:t>Database tables</w:t>
            </w:r>
          </w:p>
        </w:tc>
        <w:tc>
          <w:tcPr>
            <w:tcW w:type="dxa" w:w="4759"/>
          </w:tcPr>
          <w:p>
            <w:pPr>
              <w:jc w:val="right"/>
            </w:pPr>
            <w:r>
              <w:t>169</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103</w:t>
            </w:r>
          </w:p>
        </w:tc>
      </w:tr>
      <w:tr>
        <w:tc>
          <w:tcPr>
            <w:tcW w:type="dxa" w:w="4759"/>
          </w:tcPr>
          <w:p>
            <w:r>
              <w:t>Functional requirements</w:t>
            </w:r>
          </w:p>
        </w:tc>
        <w:tc>
          <w:tcPr>
            <w:tcW w:type="dxa" w:w="4759"/>
          </w:tcPr>
          <w:p>
            <w:pPr>
              <w:jc w:val="right"/>
            </w:pPr>
            <w:r>
              <w:t>925</w:t>
            </w:r>
          </w:p>
        </w:tc>
      </w:tr>
      <w:tr>
        <w:tc>
          <w:tcPr>
            <w:tcW w:type="dxa" w:w="4759"/>
          </w:tcPr>
          <w:p>
            <w:r>
              <w:t>Capabilities built</w:t>
            </w:r>
          </w:p>
        </w:tc>
        <w:tc>
          <w:tcPr>
            <w:tcW w:type="dxa" w:w="4759"/>
          </w:tcPr>
          <w:p>
            <w:pPr>
              <w:jc w:val="right"/>
            </w:pPr>
            <w:r>
              <w:t>501 of 503</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