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9640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21300521"/>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1300521"/>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9640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9640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21300521"/>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1300521"/>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4657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4657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21300521"/>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21300521"/>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4119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4119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9640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0207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0207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2"/>
      </w:pPr>
      <w:r>
        <w:t>One list, ordered by what it costs to miss</w:t>
      </w:r>
    </w:p>
    <w:p>
      <w:pPr>
        <w:spacing w:after="120"/>
      </w:pPr>
      <w:r>
        <w:rPr>
          <w:rFonts w:ascii="Public Sans" w:hAnsi="Public Sans"/>
          <w:b w:val="0"/>
          <w:i/>
          <w:color w:val="6B7577"/>
          <w:sz w:val="19"/>
        </w:rPr>
        <w:t>Phase 95, 30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Everything on this screen was already answerable somewhere else. The floor says whose move a job is, the plan names a booking that cannot be kept, the equipment screen names a lapsing certificate, the dashboard carries the money. All of it true, and none of it a morning — because reading eight screens is not a morning, and the one thing a workshop does not have at eight o’clock is time to go looking.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Every row names one action, as a verb, with the page where it is done. “Three invoices are overdue” is a number, and a number leaves the reader to work out what to do.</w:t>
      </w:r>
    </w:p>
    <w:p>
      <w:pPr>
        <w:pStyle w:val="ListBullet"/>
        <w:spacing w:after="60"/>
      </w:pPr>
      <w:r>
        <w:rPr>
          <w:rFonts w:ascii="Public Sans" w:hAnsi="Public Sans"/>
          <w:sz w:val="21"/>
        </w:rPr>
        <w:t>The order is an argument: somebody could be hurt, then a promise to a customer, then money, then an incomplete history — and within a cost, the thing that has been true longest.</w:t>
      </w:r>
    </w:p>
    <w:p>
      <w:pPr>
        <w:pStyle w:val="ListBullet"/>
        <w:spacing w:after="160"/>
      </w:pPr>
      <w:r>
        <w:rPr>
          <w:rFonts w:ascii="Public Sans" w:hAnsi="Public Sans"/>
          <w:sz w:val="21"/>
        </w:rPr>
        <w:t>It ends. Twelve rows, and what is behind the cap is counted out loud rather than hidden.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row the product cannot name an action for is dropped rather than shown badly: one row that says something is wrong and gives nobody anything to press is how a list stops being read. And every row’s destination is resolved against the route tree on disk, because a row that lands on a page that is not there teaches somebody the screen is not to be trusted.</w:t>
      </w:r>
    </w:p>
    <w:p>
      <w:pPr>
        <w:jc w:val="center"/>
      </w:pPr>
      <w:r>
        <w:drawing>
          <wp:inline xmlns:a="http://schemas.openxmlformats.org/drawingml/2006/main" xmlns:pic="http://schemas.openxmlformats.org/drawingml/2006/picture">
            <wp:extent cx="5903999" cy="3806849"/>
            <wp:docPr id="75" name="Picture 75"/>
            <wp:cNvGraphicFramePr>
              <a:graphicFrameLocks noChangeAspect="1"/>
            </wp:cNvGraphicFramePr>
            <a:graphic>
              <a:graphicData uri="http://schemas.openxmlformats.org/drawingml/2006/picture">
                <pic:pic>
                  <pic:nvPicPr>
                    <pic:cNvPr id="0" name="morning.png"/>
                    <pic:cNvPicPr/>
                  </pic:nvPicPr>
                  <pic:blipFill>
                    <a:blip r:embed="rId72"/>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The morning list.</w:t>
      </w:r>
    </w:p>
    <w:p>
      <w:pPr>
        <w:spacing w:after="280"/>
      </w:pPr>
      <w:r>
        <w:rPr>
          <w:rFonts w:ascii="Public Sans" w:hAnsi="Public Sans"/>
          <w:b w:val="0"/>
          <w:i w:val="0"/>
          <w:color w:val="6B7577"/>
          <w:sz w:val="17"/>
        </w:rPr>
        <w:t>Source: docs/00-product/06-roadmap.md, Phase 95; docs/01-requirements/01-functional-requirements.md, FR-12700</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