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27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161</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92</w:t>
            </w:r>
          </w:p>
        </w:tc>
      </w:tr>
      <w:tr>
        <w:tc>
          <w:tcPr>
            <w:tcW w:type="dxa" w:w="4759"/>
          </w:tcPr>
          <w:p>
            <w:r>
              <w:t>Functional requirements</w:t>
            </w:r>
          </w:p>
        </w:tc>
        <w:tc>
          <w:tcPr>
            <w:tcW w:type="dxa" w:w="4759"/>
          </w:tcPr>
          <w:p>
            <w:pPr>
              <w:jc w:val="right"/>
            </w:pPr>
            <w:r>
              <w:t>824</w:t>
            </w:r>
          </w:p>
        </w:tc>
      </w:tr>
      <w:tr>
        <w:tc>
          <w:tcPr>
            <w:tcW w:type="dxa" w:w="4759"/>
          </w:tcPr>
          <w:p>
            <w:r>
              <w:t>Capabilities built</w:t>
            </w:r>
          </w:p>
        </w:tc>
        <w:tc>
          <w:tcPr>
            <w:tcW w:type="dxa" w:w="4759"/>
          </w:tcPr>
          <w:p>
            <w:pPr>
              <w:jc w:val="right"/>
            </w:pPr>
            <w:r>
              <w:t>424 of 426</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