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134</w:t>
            </w:r>
          </w:p>
        </w:tc>
      </w:tr>
      <w:tr>
        <w:tc>
          <w:tcPr>
            <w:tcW w:type="dxa" w:w="4759"/>
          </w:tcPr>
          <w:p>
            <w:r>
              <w:t>Database tables</w:t>
            </w:r>
          </w:p>
        </w:tc>
        <w:tc>
          <w:tcPr>
            <w:tcW w:type="dxa" w:w="4759"/>
          </w:tcPr>
          <w:p>
            <w:pPr>
              <w:jc w:val="right"/>
            </w:pPr>
            <w:r>
              <w:t>169</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99</w:t>
            </w:r>
          </w:p>
        </w:tc>
      </w:tr>
      <w:tr>
        <w:tc>
          <w:tcPr>
            <w:tcW w:type="dxa" w:w="4759"/>
          </w:tcPr>
          <w:p>
            <w:r>
              <w:t>Functional requirements</w:t>
            </w:r>
          </w:p>
        </w:tc>
        <w:tc>
          <w:tcPr>
            <w:tcW w:type="dxa" w:w="4759"/>
          </w:tcPr>
          <w:p>
            <w:pPr>
              <w:jc w:val="right"/>
            </w:pPr>
            <w:r>
              <w:t>888</w:t>
            </w:r>
          </w:p>
        </w:tc>
      </w:tr>
      <w:tr>
        <w:tc>
          <w:tcPr>
            <w:tcW w:type="dxa" w:w="4759"/>
          </w:tcPr>
          <w:p>
            <w:r>
              <w:t>Capabilities built</w:t>
            </w:r>
          </w:p>
        </w:tc>
        <w:tc>
          <w:tcPr>
            <w:tcW w:type="dxa" w:w="4759"/>
          </w:tcPr>
          <w:p>
            <w:pPr>
              <w:jc w:val="right"/>
            </w:pPr>
            <w:r>
              <w:t>470 of 472</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