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14 September 2026, after Phase 33.</w:t>
      </w:r>
    </w:p>
    <w:p>
      <w:pPr>
        <w:spacing w:after="160"/>
      </w:pPr>
      <w:r>
        <w:rPr>
          <w:rFonts w:ascii="Public Sans" w:hAnsi="Public Sans"/>
          <w:b w:val="0"/>
          <w:i w:val="0"/>
          <w:color w:val="6B7577"/>
          <w:sz w:val="19"/>
        </w:rPr>
        <w:t>129 tables, 64 enumerations, 1997 columns; 40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129 tables in 12 domains, 64 enumerations, 1997 columns, defined in packages/db/prisma/schema.prisma and applied by 40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35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12</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882834"/>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882834"/>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bl>
    <w:p>
      <w:pPr>
        <w:spacing w:after="80"/>
      </w:pPr>
    </w:p>
    <w:p>
      <w:r>
        <w:br w:type="page"/>
      </w:r>
    </w:p>
    <w:p>
      <w:pPr>
        <w:jc w:val="center"/>
      </w:pPr>
      <w:r>
        <w:drawing>
          <wp:inline xmlns:a="http://schemas.openxmlformats.org/drawingml/2006/main" xmlns:pic="http://schemas.openxmlformats.org/drawingml/2006/picture">
            <wp:extent cx="9108000" cy="2991571"/>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991571"/>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3272640"/>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3272640"/>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bl>
    <w:p>
      <w:pPr>
        <w:spacing w:after="80"/>
      </w:pPr>
    </w:p>
    <w:p>
      <w:r>
        <w:br w:type="page"/>
      </w:r>
    </w:p>
    <w:p>
      <w:pPr>
        <w:jc w:val="center"/>
      </w:pPr>
      <w:r>
        <w:drawing>
          <wp:inline xmlns:a="http://schemas.openxmlformats.org/drawingml/2006/main" xmlns:pic="http://schemas.openxmlformats.org/drawingml/2006/picture">
            <wp:extent cx="9108000" cy="2077597"/>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077597"/>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15</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bl>
    <w:p>
      <w:pPr>
        <w:spacing w:after="80"/>
      </w:pPr>
    </w:p>
    <w:p>
      <w:r>
        <w:br w:type="page"/>
      </w:r>
    </w:p>
    <w:p>
      <w:pPr>
        <w:jc w:val="center"/>
      </w:pPr>
      <w:r>
        <w:drawing>
          <wp:inline xmlns:a="http://schemas.openxmlformats.org/drawingml/2006/main" xmlns:pic="http://schemas.openxmlformats.org/drawingml/2006/picture">
            <wp:extent cx="4829532"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4829532"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8025827" cy="5832000"/>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8025827" cy="5832000"/>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04930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04930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14</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774082"/>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774082"/>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5347540" cy="5831999"/>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5347540" cy="5831999"/>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2623431"/>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2623431"/>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InboundMessage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982111"/>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982111"/>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5309925"/>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5309925"/>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648615"/>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648615"/>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7329938"/>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7329938"/>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15473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15473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200351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200351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4955100"/>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4955100"/>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8992012"/>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8992012"/>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692338"/>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692338"/>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53675"/>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53675"/>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55500"/>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55500"/>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080985"/>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080985"/>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06648615"/>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06648615"/>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VehicleEvent, VehicleEventAttachment, VehicleOwnership, OdometerReading, VehicleAccessGrant, PassportShare, PassportShareAccess, Recall, VehicleRecall, VehicleDocument, VehicleClaim, PartFitment</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SuppressedAddress, DeliveryEvent, ReviewRequest, LoyaltyEntry, Referral,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