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77</w:t>
            </w:r>
          </w:p>
        </w:tc>
      </w:tr>
      <w:tr>
        <w:tc>
          <w:tcPr>
            <w:tcW w:type="dxa" w:w="4759"/>
          </w:tcPr>
          <w:p>
            <w:r>
              <w:t>Database tables</w:t>
            </w:r>
          </w:p>
        </w:tc>
        <w:tc>
          <w:tcPr>
            <w:tcW w:type="dxa" w:w="4759"/>
          </w:tcPr>
          <w:p>
            <w:pPr>
              <w:jc w:val="right"/>
            </w:pPr>
            <w:r>
              <w:t>114</w:t>
            </w:r>
          </w:p>
        </w:tc>
      </w:tr>
      <w:tr>
        <w:tc>
          <w:tcPr>
            <w:tcW w:type="dxa" w:w="4759"/>
          </w:tcPr>
          <w:p>
            <w:r>
              <w:t>Domain tests</w:t>
            </w:r>
          </w:p>
        </w:tc>
        <w:tc>
          <w:tcPr>
            <w:tcW w:type="dxa" w:w="4759"/>
          </w:tcPr>
          <w:p>
            <w:pPr>
              <w:jc w:val="right"/>
            </w:pPr>
            <w:r>
              <w:t>1,013</w:t>
            </w:r>
          </w:p>
        </w:tc>
      </w:tr>
      <w:tr>
        <w:tc>
          <w:tcPr>
            <w:tcW w:type="dxa" w:w="4759"/>
          </w:tcPr>
          <w:p>
            <w:r>
              <w:t>Database invariant probes</w:t>
            </w:r>
          </w:p>
        </w:tc>
        <w:tc>
          <w:tcPr>
            <w:tcW w:type="dxa" w:w="4759"/>
          </w:tcPr>
          <w:p>
            <w:pPr>
              <w:jc w:val="right"/>
            </w:pPr>
            <w:r>
              <w:t>23</w:t>
            </w:r>
          </w:p>
        </w:tc>
      </w:tr>
      <w:tr>
        <w:tc>
          <w:tcPr>
            <w:tcW w:type="dxa" w:w="4759"/>
          </w:tcPr>
          <w:p>
            <w:r>
              <w:t>Functional requirements</w:t>
            </w:r>
          </w:p>
        </w:tc>
        <w:tc>
          <w:tcPr>
            <w:tcW w:type="dxa" w:w="4759"/>
          </w:tcPr>
          <w:p>
            <w:pPr>
              <w:jc w:val="right"/>
            </w:pPr>
            <w:r>
              <w:t>357</w:t>
            </w:r>
          </w:p>
        </w:tc>
      </w:tr>
      <w:tr>
        <w:tc>
          <w:tcPr>
            <w:tcW w:type="dxa" w:w="4759"/>
          </w:tcPr>
          <w:p>
            <w:r>
              <w:t>Capabilities built</w:t>
            </w:r>
          </w:p>
        </w:tc>
        <w:tc>
          <w:tcPr>
            <w:tcW w:type="dxa" w:w="4759"/>
          </w:tcPr>
          <w:p>
            <w:pPr>
              <w:jc w:val="right"/>
            </w:pPr>
            <w:r>
              <w:t>127 of 146</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