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16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124</w:t>
            </w:r>
          </w:p>
        </w:tc>
      </w:tr>
      <w:tr>
        <w:tc>
          <w:tcPr>
            <w:tcW w:type="dxa" w:w="4759"/>
          </w:tcPr>
          <w:p>
            <w:r>
              <w:t>Database tables</w:t>
            </w:r>
          </w:p>
        </w:tc>
        <w:tc>
          <w:tcPr>
            <w:tcW w:type="dxa" w:w="4759"/>
          </w:tcPr>
          <w:p>
            <w:pPr>
              <w:jc w:val="right"/>
            </w:pPr>
            <w:r>
              <w:t>153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65</w:t>
            </w:r>
          </w:p>
        </w:tc>
      </w:tr>
      <w:tr>
        <w:tc>
          <w:tcPr>
            <w:tcW w:type="dxa" w:w="4759"/>
          </w:tcPr>
          <w:p>
            <w:r>
              <w:t>Functional requirements</w:t>
            </w:r>
          </w:p>
        </w:tc>
        <w:tc>
          <w:tcPr>
            <w:tcW w:type="dxa" w:w="4759"/>
          </w:tcPr>
          <w:p>
            <w:pPr>
              <w:jc w:val="right"/>
            </w:pPr>
            <w:r>
              <w:t>635</w:t>
            </w:r>
          </w:p>
        </w:tc>
      </w:tr>
      <w:tr>
        <w:tc>
          <w:tcPr>
            <w:tcW w:type="dxa" w:w="4759"/>
          </w:tcPr>
          <w:p>
            <w:r>
              <w:t>Capabilities built</w:t>
            </w:r>
          </w:p>
        </w:tc>
        <w:tc>
          <w:tcPr>
            <w:tcW w:type="dxa" w:w="4759"/>
          </w:tcPr>
          <w:p>
            <w:pPr>
              <w:jc w:val="right"/>
            </w:pPr>
            <w:r>
              <w:t>251 of 253</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