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16 September 2026, after Phase 99.</w:t>
      </w:r>
    </w:p>
    <w:p>
      <w:pPr>
        <w:spacing w:after="160"/>
      </w:pPr>
      <w:r>
        <w:rPr>
          <w:rFonts w:ascii="Public Sans" w:hAnsi="Public Sans"/>
          <w:b w:val="0"/>
          <w:i w:val="0"/>
          <w:color w:val="6B7577"/>
          <w:sz w:val="19"/>
        </w:rPr>
        <w:t>171 tables, 79 enumerations, 2730 columns; 81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Parts back, work out</w:t>
      </w:r>
    </w:p>
    <w:p>
      <w:pPr>
        <w:spacing w:after="160"/>
      </w:pPr>
      <w:r>
        <w:rPr>
          <w:rFonts w:ascii="Public Sans" w:hAnsi="Public Sans"/>
          <w:b w:val="0"/>
          <w:i w:val="0"/>
          <w:color w:val="1A2022"/>
          <w:sz w:val="21"/>
        </w:rPr>
        <w:t>sendReturn reads the order lines with what was received and already returned, locks each stock level with lockLevel, checks the return in core (assertReturnable), issues the quantity at the average cost, and writes the SupplierReturn, its lines and a RETURN StockMovement per line in one transaction; a core writes no movement. postReturnSent moves the cost held from Stock to Supplier credits due. creditReturn claims the return (SENT to CREDITED) so it is credited once, sets the gross against the supplier's open bills oldest first with applyCredit (raising amountPaid and writing SupplierCreditApplication rows), keeps the remainder as creditUnapplied, and posts postReturnCredited. bookBill and billSublet call applyHeldCredits so held credit comes off the next bill. addSublet writes a JobPartLine with no product (so completion consumes no stock and the invoice charges it like any line) and the JobSublet beside it; billSublet claims the sublet, writes a SupplierBill with no order, replaces the line's cost with the real cost, and posts postSubletBilled to Cost of sublet work.</w:t>
      </w:r>
    </w:p>
    <w:p>
      <w:pPr>
        <w:pStyle w:val="Heading2"/>
      </w:pPr>
      <w:r>
        <w:t>6.18 Finding anything</w:t>
      </w:r>
    </w:p>
    <w:p>
      <w:pPr>
        <w:spacing w:after="160"/>
      </w:pPr>
      <w:r>
        <w:rPr>
          <w:rFonts w:ascii="Public Sans" w:hAnsi="Public Sans"/>
          <w:b w:val="0"/>
          <w:i w:val="0"/>
          <w:color w:val="1A2022"/>
          <w:sz w:val="21"/>
        </w:rPr>
        <w:t>The navigation's box is a GET form to /search. readQuery in core reads the text into its forms: letters and digits only for a plate or VIN, digits for a telephone number, a job number when it is one. searchEverything runs six scoped queries together: customers by name, email or telephone digits (a raw query with regexp_replace), vehicles by compacted registration or VIN only where the workshop has a job or an unrevoked grant (a raw query with EXISTS), jobs by number or description, invoices by number, parts by number or name, suppliers by name; rankHits orders them and straightTo redirects when exactly one is an exact identifier. notifyStaff reads the workshop's active memberships, keeps those whose role holds the permission that would act on the event (NOTIFY_PERMISSION) less whoever caused it, and writes one StaffNotification each; it is called after recordDecision, receiveInbound, requestBooking, a card payment recorded by settleAttempt, and requestPart, and never throws. The workshop layout counts the person's unread rows for the bell; /notifications/[id] marks one read and redirects to its path.</w:t>
      </w:r>
    </w:p>
    <w:p>
      <w:pPr>
        <w:pStyle w:val="Heading2"/>
      </w:pPr>
      <w:r>
        <w:t>6.19 The owner's day</w:t>
      </w:r>
    </w:p>
    <w:p>
      <w:pPr>
        <w:spacing w:after="160"/>
      </w:pPr>
      <w:r>
        <w:rPr>
          <w:rFonts w:ascii="Public Sans" w:hAnsi="Public Sans"/>
          <w:b w:val="0"/>
          <w:i w:val="0"/>
          <w:color w:val="1A2022"/>
          <w:sz w:val="21"/>
        </w:rPr>
        <w:t>A comeback is a column on the job pointing at the earlier job, written by markComeback after assertComebackLink in core has checked the vehicle, the order of the dates, the ninety-day limit and the reason; a check constraint holds the reason in the database. comebackPicture reads the jobs finished in the period with their site, technicians and a count of later jobs pointing at them, and comebackRates in core turns them into a rate per workshop, site and person, null below ten jobs. reputationTrend reads a year of answered review requests with the rated job's site and technicians and hands them to monthlyRatings, ratingTrend and reputationBy. ordersBySupplier reads a supplier's placed orders with their first receipt, line quantities and costs, and the value of returns for faulty or wrong parts; measureSupplier, performanceOverTime and describePerformance turn those into waits, promises kept, fill and returns per quarter, each null below three orders. supplierOptionsFor adds each supplier's last price for one part and compareSuppliers marks cheapest, quickest and most reliable only among two or more. ownerDay gathers what the dashboard's business and inventory blocks show: invoice balances and those past due, the ninety-day comeback rate and satisfaction trend, parts below their reorder point with nothing on order, orders past their expected date and the shelf at average cost. The dashboard is translated through the same translator as the public site.</w:t>
      </w:r>
    </w:p>
    <w:p>
      <w:pPr>
        <w:pStyle w:val="Heading2"/>
      </w:pPr>
      <w:r>
        <w:t>6.20 Every word</w:t>
      </w:r>
    </w:p>
    <w:p>
      <w:pPr>
        <w:spacing w:after="160"/>
      </w:pPr>
      <w:r>
        <w:rPr>
          <w:rFonts w:ascii="Public Sans" w:hAnsi="Public Sans"/>
          <w:b w:val="0"/>
          <w:i w:val="0"/>
          <w:color w:val="1A2022"/>
          <w:sz w:val="21"/>
        </w:rPr>
        <w:t>Pages ask tFor() for a translator bound to the request's language; components that run in the browser read the language the root layout put in a context with useT(); labels defined outside a component are marked with msg() and translated where they are shown; the UI package's components take the page's translator as a prop. The dictionaries are one file per area of the product under packages/core/src/i18n/areas, merged into one per language at start. translate() looks for the sentence exactly, then against keys with slots, most fixed words first, trusting a key only when its fixed words are at least twenty characters or two fifths of the sentence; values read out of the slots are translated in turn, and English month and weekday names beside a number are replaced with the reader's from Intl. Refusals thrown by the libraries and core reach the page through ?problem= and are translated there by the same matching. infra/scripts/i18n-scan.ts parses the source with the TypeScript compiler to find text outside the translator and, with --messages, every thrown or returned refusal sentence and whether it has both translations; verify-languages fails on either.</w:t>
      </w:r>
    </w:p>
    <w:p>
      <w:pPr>
        <w:pStyle w:val="Heading2"/>
      </w:pPr>
      <w:r>
        <w:t>6.21 Tax</w:t>
      </w:r>
    </w:p>
    <w:p>
      <w:pPr>
        <w:spacing w:after="160"/>
      </w:pPr>
      <w:r>
        <w:rPr>
          <w:rFonts w:ascii="Public Sans" w:hAnsi="Public Sans"/>
          <w:b w:val="0"/>
          <w:i w:val="0"/>
          <w:color w:val="1A2022"/>
          <w:sz w:val="21"/>
        </w:rPr>
        <w:t>A line's rate carries its components; linePricing in lib/tax.ts turns the rate and the context (whether the workshop prices with tax in, whether the customer paying is exempt) into the taxes, the inclusive flag and the exemption on the PriceableLine, and calculateTotals and saleTotals in core call taxOnLine for each line, which works each tax out and rounds it on its own, compounding where a tax says so, and with tax in takes the net out of the price and gives the rounding penny to the largest tax. defaultTaxRateId chooses the site's rate over the workshop's default wherever a line is written. issueInvoice, the fleet's monthly invoice, raiseCreditNote and completeSale call recordTaxEntries inside their transactions with the document's bands (a credit note's through creditShares, negative); a trigger refuses any update to tax_entries. taxReportFor reads the entries for a period and hands them to taxReport in core, overall and per site, for /reports/tax and its CSV.</w:t>
      </w:r>
    </w:p>
    <w:p>
      <w:pPr>
        <w:pStyle w:val="Heading2"/>
      </w:pPr>
      <w:r>
        <w:t>6.22 Paper</w:t>
      </w:r>
    </w:p>
    <w:p>
      <w:pPr>
        <w:spacing w:after="160"/>
      </w:pPr>
      <w:r>
        <w:rPr>
          <w:rFonts w:ascii="Public Sans" w:hAnsi="Public Sans"/>
          <w:b w:val="0"/>
          <w:i w:val="0"/>
          <w:color w:val="1A2022"/>
          <w:sz w:val="21"/>
        </w:rPr>
        <w:t>/print/[kind]/[id] is a server page outside the workshop layout. readerFor in lib/print.ts looks up the document's workshop and the logins of the customers it is addressed to, then admits a workshop member whose role holds PRINT_PERMISSION for the kind, a technician assigned to the job for a work order or key tag, or one of those customers for an invoice, quote or inspection report; the loaders (invoiceDocument, estimateDocument, inspectionDocument, workOrderDocument, counterSaleDocument, labelsDocument) read the document scoped to that workshop, and the components in components/print render it with tFor, the reader's locale from readingLocaleFor, watermarkFor, and QR codes drawn as SVG by the qrcode package. /api/print/[kind]/[id] runs the same check, then renderPdf in lib/pdf.ts launches Chromium through playwright-core (with @sparticuz/chromium's binary on the server, carried into the function by outputFileTracingIncludes), adds only the reader's session and language cookies, opens the print page with print media emulated and returns page.pdf() as an attachment named by pdfFilename; if the browser cannot start it redirects to the print page with ?print=1, which opens the print dialog. The print stylesheet in packages/ui sets A4, receipt and tag page sizes and hides the workshop's navigation and controls for every page.</w:t>
      </w:r>
    </w:p>
    <w:p>
      <w:pPr>
        <w:pStyle w:val="Heading2"/>
      </w:pPr>
      <w:r>
        <w:t>6.23 Providers behind seams</w:t>
      </w:r>
    </w:p>
    <w:p>
      <w:pPr>
        <w:spacing w:after="160"/>
      </w:pPr>
      <w:r>
        <w:rPr>
          <w:rFonts w:ascii="Public Sans" w:hAnsi="Public Sans"/>
          <w:b w:val="0"/>
          <w:i w:val="0"/>
          <w:color w:val="1A2022"/>
          <w:sz w:val="21"/>
        </w:rPr>
        <w:t>Three ports, each chosen by one environment variable and each with an implementation that needs nobody else. VIN_DECODER picks the decoder: the built-in one reads the maker from the WMI table and the year from the tenth character only where vinEncodesYear says the VIN carries one, and 'nhtsa' asks the registry's DecodeVinValues for the model, engine, fuel and body, reads the record through readVpicDecoding and keeps a complete answer in vin_decodes for six months; decodeVin in lib/providers.ts is what the page calls, and the decode action on /vehicles/find only fills the form. FITMENT_FEED picks the feed; fetchFeedFitments reads the part, asks the feed, and hands what came back with what is already held to planFeedImport in core, which decides what to create, what to remove and what to leave alone before anything is written: a WORKSHOP row is never replaced, a held claim is never written twice, and only rows carrying this feed's feedName are removed. REVIEW_SITE picks the review site; googleReviewSite builds the write-review address from the organisation's googlePlaceId, /r/[token]/public stamps publicOpenedAt through followReviewInvitation and redirects only to an address isReviewSiteUrl recognises, and only for an answer routed PUBLIC_INVITE. Payroll gained the same kind of seam on the way out: PAYROLL_EXPORTS in core holds three named shapes of the same PayrollRow set, /api/reports/payroll?format= renders the one asked for and refuses any other name, and pay_adjustments rows are locked by a trigger once their timesheet has a run.</w:t>
      </w:r>
    </w:p>
    <w:p>
      <w:pPr>
        <w:pStyle w:val="Heading2"/>
      </w:pPr>
      <w:r>
        <w:t>6.24 Ownership handed over, warranty at cost, prices per site</w:t>
      </w:r>
    </w:p>
    <w:p>
      <w:pPr>
        <w:spacing w:after="160"/>
      </w:pPr>
      <w:r>
        <w:rPr>
          <w:rFonts w:ascii="Public Sans" w:hAnsi="Public Sans"/>
          <w:b w:val="0"/>
          <w:i w:val="0"/>
          <w:color w:val="1A2022"/>
          <w:sz w:val="21"/>
        </w:rPr>
        <w:t>A handover is a HandoverInvitation row holding the buyer's name, the day of the sale, the reading and the digest of a link; inviteHandover in lib/handover.ts writes it after assertHandoverInvitable applies every rule a recorded transfer applies plus one more, that no other invitation is standing, which a partial unique index enforces as well. /handover/[token] reads it through handoverByToken, which returns the vehicle, the count of owners and entries and describeHandover's sentence, and no name. acceptHandover runs one transaction: a conditional update of the invitation to ACCEPTED, the seller's ownership closed at the sale date, the buyer's opened against their user id; then the chain event is appended outside it, marked SELF_REPORTED. The portal reads vehicles through the open ownership row, so the seller's access ends with that same write. Warranty gained the cost side: settleClaim reads remedyCost from the remedy job's part lines at unitCost and time entries at costRate, assertSettlement in core refuses a recovery above the cost (and a check constraint refuses it again), and warrantyCostFor hands the settled claims and the period's invoiced total to warrantyCost and warrantyBy for /warranty and /api/reports/warranty. Prices per site are two small tables and one rule: LabourRate rows, each with or without a locationId, and ProductSitePrice rows per part and site; chooseLabourRate and chooseSitePrice in core pick the site's figure over the workshop's, labourRateAt and sellPriceAt in lib/pricing.ts read them, and quoteExtraWork uses them when a price is left blank.</w:t>
      </w:r>
    </w:p>
    <w:p>
      <w:pPr>
        <w:pStyle w:val="Heading2"/>
      </w:pPr>
      <w:r>
        <w:t>6.25 The first day</w:t>
      </w:r>
    </w:p>
    <w:p>
      <w:pPr>
        <w:spacing w:after="160"/>
      </w:pPr>
      <w:r>
        <w:rPr>
          <w:rFonts w:ascii="Public Sans" w:hAnsi="Public Sans"/>
          <w:b w:val="0"/>
          <w:i w:val="0"/>
          <w:color w:val="1A2022"/>
          <w:sz w:val="21"/>
        </w:rPr>
        <w:t>setupSteps in core turns nine counts — letterhead, labour rates, tax rates, members, products, customers, jobs, issued invoices, service schedules — into a list with a reason against each, and setupFactsFor in lib/onboarding.ts reads those counts in one round of queries; nothing is stored except organizations.setupHiddenAt, which only decides whether the list is shown. /start renders it and the dashboard shows the next step until the list is finished. The help is twelve articles held as data in core with a title, a summary, two paragraphs, a screen and some keywords; searchHelp scores a query against titles, keywords, summaries and bodies, /help renders them and searchEverything adds up to three help hits, never exact, under the records. createDemonstration in lib/demonstration.ts builds a second organisation marked isDemonstration and drives the product's own createJob, issueInvoice, recordPayment and appendEvents to write a year of work, then suppresses every message it queued; sendMessageNow and the sweep refuse a demonstration's messages as well. switchWorkshop moves a session's orgId between the workshops a person belongs to. removeDemonstration deletes the organisation and then its vehicles and their events, which the append-only trigger permits only for vehicles marked as demonstration data.</w:t>
      </w:r>
    </w:p>
    <w:p>
      <w:pPr>
        <w:pStyle w:val="Heading2"/>
      </w:pPr>
      <w:r>
        <w:t>6.26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171 tables in 12 domains, 79 enumerations, 2730 columns, defined in packages/db/prisma/schema.prisma and applied by 81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p>
      <w:pPr>
        <w:spacing w:after="160"/>
      </w:pPr>
      <w:r>
        <w:rPr>
          <w:rFonts w:ascii="Public Sans" w:hAnsi="Public Sans"/>
          <w:b w:val="0"/>
          <w:i w:val="0"/>
          <w:color w:val="1A2022"/>
          <w:sz w:val="20"/>
        </w:rPr>
        <w:t>OnceRequest is how a request that arrives twice does its work once (Phase 46). Some writes cannot recognise a repeat from the inside — two cash payments of fifty pounds against one bill are two real payments — so the key is minted when the form is drawn and sent with every press of that form's button: the second press lands on the unique index and is absorbed, while a deliberate second payment comes from a freshly drawn form and goes through. The queues are claimed rather than read: outbox_events and message_logs are both taken in one statement that selects what is due FOR UPDATE SKIP LOCKED and leases it a few minutes into the future, so two workers over one queue step over each other rather than sending the same customer the same email twice, and work abandoned by a worker that died comes back when the lease expires.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41</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TaxRate</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Equipment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JobTypeEquipment</w:t>
            </w:r>
          </w:p>
        </w:tc>
        <w:tc>
          <w:tcPr>
            <w:tcW w:type="dxa" w:w="1134"/>
          </w:tcPr>
          <w:p>
            <w:r/>
            <w:r>
              <w:rPr>
                <w:rFonts w:ascii="Public Sans" w:hAnsi="Public Sans"/>
                <w:sz w:val="16"/>
              </w:rPr>
              <w:t>4</w:t>
            </w:r>
          </w:p>
        </w:tc>
        <w:tc>
          <w:tcPr>
            <w:tcW w:type="dxa" w:w="2268"/>
          </w:tcPr>
          <w:p>
            <w:r/>
            <w:r>
              <w:rPr>
                <w:rFonts w:ascii="Public Sans" w:hAnsi="Public Sans"/>
                <w:sz w:val="16"/>
              </w:rPr>
              <w:t>through JobType</w:t>
            </w:r>
          </w:p>
        </w:tc>
        <w:tc>
          <w:tcPr>
            <w:tcW w:type="dxa" w:w="7937"/>
          </w:tcPr>
          <w:p>
            <w:r/>
            <w:r>
              <w:rPr>
                <w:rFonts w:ascii="Public Sans" w:hAnsi="Public Sans"/>
                <w:sz w:val="16"/>
              </w:rPr>
              <w:t>JobType, Equipment</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OnceRequest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DayClose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r>
        <w:tc>
          <w:tcPr>
            <w:tcW w:type="dxa" w:w="2835"/>
          </w:tcPr>
          <w:p>
            <w:r/>
            <w:r>
              <w:rPr>
                <w:rFonts w:ascii="IBM Plex Mono" w:hAnsi="IBM Plex Mono"/>
                <w:sz w:val="16"/>
              </w:rPr>
              <w:t>DayCloseReading</w:t>
            </w:r>
          </w:p>
        </w:tc>
        <w:tc>
          <w:tcPr>
            <w:tcW w:type="dxa" w:w="1134"/>
          </w:tcPr>
          <w:p>
            <w:r/>
            <w:r>
              <w:rPr>
                <w:rFonts w:ascii="Public Sans" w:hAnsi="Public Sans"/>
                <w:sz w:val="16"/>
              </w:rPr>
              <w:t>5</w:t>
            </w:r>
          </w:p>
        </w:tc>
        <w:tc>
          <w:tcPr>
            <w:tcW w:type="dxa" w:w="2268"/>
          </w:tcPr>
          <w:p>
            <w:r/>
            <w:r>
              <w:rPr>
                <w:rFonts w:ascii="Public Sans" w:hAnsi="Public Sans"/>
                <w:sz w:val="16"/>
              </w:rPr>
              <w:t>through DayClose</w:t>
            </w:r>
          </w:p>
        </w:tc>
        <w:tc>
          <w:tcPr>
            <w:tcW w:type="dxa" w:w="7937"/>
          </w:tcPr>
          <w:p>
            <w:r/>
            <w:r>
              <w:rPr>
                <w:rFonts w:ascii="Public Sans" w:hAnsi="Public Sans"/>
                <w:sz w:val="16"/>
              </w:rPr>
              <w:t>DayClose</w:t>
            </w:r>
          </w:p>
        </w:tc>
      </w:tr>
    </w:tbl>
    <w:p>
      <w:pPr>
        <w:spacing w:after="80"/>
      </w:pPr>
    </w:p>
    <w:p>
      <w:r>
        <w:br w:type="page"/>
      </w:r>
    </w:p>
    <w:p>
      <w:pPr>
        <w:jc w:val="center"/>
      </w:pPr>
      <w:r>
        <w:drawing>
          <wp:inline xmlns:a="http://schemas.openxmlformats.org/drawingml/2006/main" xmlns:pic="http://schemas.openxmlformats.org/drawingml/2006/picture">
            <wp:extent cx="9108000" cy="3832157"/>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3832157"/>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26</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VinDecode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HandoverInvitation</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VehicleOwnership, User</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r>
        <w:tc>
          <w:tcPr>
            <w:tcW w:type="dxa" w:w="2835"/>
          </w:tcPr>
          <w:p>
            <w:r/>
            <w:r>
              <w:rPr>
                <w:rFonts w:ascii="IBM Plex Mono" w:hAnsi="IBM Plex Mono"/>
                <w:sz w:val="16"/>
              </w:rPr>
              <w:t>VehicleSpecification</w:t>
            </w:r>
          </w:p>
        </w:tc>
        <w:tc>
          <w:tcPr>
            <w:tcW w:type="dxa" w:w="1134"/>
          </w:tcPr>
          <w:p>
            <w:r/>
            <w:r>
              <w:rPr>
                <w:rFonts w:ascii="Public Sans" w:hAnsi="Public Sans"/>
                <w:sz w:val="16"/>
              </w:rPr>
              <w:t>28</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 User</w:t>
            </w:r>
          </w:p>
        </w:tc>
      </w:tr>
      <w:tr>
        <w:tc>
          <w:tcPr>
            <w:tcW w:type="dxa" w:w="2835"/>
          </w:tcPr>
          <w:p>
            <w:r/>
            <w:r>
              <w:rPr>
                <w:rFonts w:ascii="IBM Plex Mono" w:hAnsi="IBM Plex Mono"/>
                <w:sz w:val="16"/>
              </w:rPr>
              <w:t>ProductSitePrice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Location</w:t>
            </w:r>
          </w:p>
        </w:tc>
      </w:tr>
    </w:tbl>
    <w:p>
      <w:pPr>
        <w:spacing w:after="80"/>
      </w:pPr>
    </w:p>
    <w:p>
      <w:r>
        <w:br w:type="page"/>
      </w:r>
    </w:p>
    <w:p>
      <w:pPr>
        <w:jc w:val="center"/>
      </w:pPr>
      <w:r>
        <w:drawing>
          <wp:inline xmlns:a="http://schemas.openxmlformats.org/drawingml/2006/main" xmlns:pic="http://schemas.openxmlformats.org/drawingml/2006/picture">
            <wp:extent cx="9108000" cy="2121429"/>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121429"/>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FleetNumber</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Vehicle</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790767"/>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790767"/>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 Job</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17</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 User</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8</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r>
        <w:tc>
          <w:tcPr>
            <w:tcW w:type="dxa" w:w="2835"/>
          </w:tcPr>
          <w:p>
            <w:r/>
            <w:r>
              <w:rPr>
                <w:rFonts w:ascii="IBM Plex Mono" w:hAnsi="IBM Plex Mono"/>
                <w:sz w:val="16"/>
              </w:rPr>
              <w:t>JobSublet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Supplier, JobPartLine, SupplierBill</w:t>
            </w:r>
          </w:p>
        </w:tc>
      </w:tr>
      <w:tr>
        <w:tc>
          <w:tcPr>
            <w:tcW w:type="dxa" w:w="2835"/>
          </w:tcPr>
          <w:p>
            <w:r/>
            <w:r>
              <w:rPr>
                <w:rFonts w:ascii="IBM Plex Mono" w:hAnsi="IBM Plex Mono"/>
                <w:sz w:val="16"/>
              </w:rPr>
              <w:t>CourtesyVehicle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CourtesyLoan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CourtesyVehicle, Vehicle, Customer, Job, Booking, User</w:t>
            </w:r>
          </w:p>
        </w:tc>
      </w:tr>
    </w:tbl>
    <w:p>
      <w:pPr>
        <w:spacing w:after="80"/>
      </w:pPr>
    </w:p>
    <w:p>
      <w:r>
        <w:br w:type="page"/>
      </w:r>
    </w:p>
    <w:p>
      <w:pPr>
        <w:jc w:val="center"/>
      </w:pPr>
      <w:r>
        <w:drawing>
          <wp:inline xmlns:a="http://schemas.openxmlformats.org/drawingml/2006/main" xmlns:pic="http://schemas.openxmlformats.org/drawingml/2006/picture">
            <wp:extent cx="9108000" cy="2660196"/>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660196"/>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diagnosis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SymptomCode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CauseCode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SymptomCode</w:t>
            </w:r>
          </w:p>
        </w:tc>
      </w:tr>
      <w:tr>
        <w:tc>
          <w:tcPr>
            <w:tcW w:type="dxa" w:w="2835"/>
          </w:tcPr>
          <w:p>
            <w:r/>
            <w:r>
              <w:rPr>
                <w:rFonts w:ascii="IBM Plex Mono" w:hAnsi="IBM Plex Mono"/>
                <w:sz w:val="16"/>
              </w:rPr>
              <w:t>JobDiagnosis</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SymptomCode</w:t>
            </w:r>
          </w:p>
        </w:tc>
      </w:tr>
      <w:tr>
        <w:tc>
          <w:tcPr>
            <w:tcW w:type="dxa" w:w="2835"/>
          </w:tcPr>
          <w:p>
            <w:r/>
            <w:r>
              <w:rPr>
                <w:rFonts w:ascii="IBM Plex Mono" w:hAnsi="IBM Plex Mono"/>
                <w:sz w:val="16"/>
              </w:rPr>
              <w:t>DiagnosisCause</w:t>
            </w:r>
          </w:p>
        </w:tc>
        <w:tc>
          <w:tcPr>
            <w:tcW w:type="dxa" w:w="1134"/>
          </w:tcPr>
          <w:p>
            <w:r/>
            <w:r>
              <w:rPr>
                <w:rFonts w:ascii="Public Sans" w:hAnsi="Public Sans"/>
                <w:sz w:val="16"/>
              </w:rPr>
              <w:t>8</w:t>
            </w:r>
          </w:p>
        </w:tc>
        <w:tc>
          <w:tcPr>
            <w:tcW w:type="dxa" w:w="2268"/>
          </w:tcPr>
          <w:p>
            <w:r/>
            <w:r>
              <w:rPr>
                <w:rFonts w:ascii="Public Sans" w:hAnsi="Public Sans"/>
                <w:sz w:val="16"/>
              </w:rPr>
              <w:t>through JobDiagnosis</w:t>
            </w:r>
          </w:p>
        </w:tc>
        <w:tc>
          <w:tcPr>
            <w:tcW w:type="dxa" w:w="7937"/>
          </w:tcPr>
          <w:p>
            <w:r/>
            <w:r>
              <w:rPr>
                <w:rFonts w:ascii="Public Sans" w:hAnsi="Public Sans"/>
                <w:sz w:val="16"/>
              </w:rPr>
              <w:t>JobDiagnosis, CauseCode, User</w:t>
            </w:r>
          </w:p>
        </w:tc>
      </w:tr>
      <w:tr>
        <w:tc>
          <w:tcPr>
            <w:tcW w:type="dxa" w:w="2835"/>
          </w:tcPr>
          <w:p>
            <w:r/>
            <w:r>
              <w:rPr>
                <w:rFonts w:ascii="IBM Plex Mono" w:hAnsi="IBM Plex Mono"/>
                <w:sz w:val="16"/>
              </w:rPr>
              <w:t>QualityCheckItem</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QualityCheckAnswer</w:t>
            </w:r>
          </w:p>
        </w:tc>
        <w:tc>
          <w:tcPr>
            <w:tcW w:type="dxa" w:w="1134"/>
          </w:tcPr>
          <w:p>
            <w:r/>
            <w:r>
              <w:rPr>
                <w:rFonts w:ascii="Public Sans" w:hAnsi="Public Sans"/>
                <w:sz w:val="16"/>
              </w:rPr>
              <w:t>5</w:t>
            </w:r>
          </w:p>
        </w:tc>
        <w:tc>
          <w:tcPr>
            <w:tcW w:type="dxa" w:w="2268"/>
          </w:tcPr>
          <w:p>
            <w:r/>
            <w:r>
              <w:rPr>
                <w:rFonts w:ascii="Public Sans" w:hAnsi="Public Sans"/>
                <w:sz w:val="16"/>
              </w:rPr>
              <w:t>through QualityCheckItem</w:t>
            </w:r>
          </w:p>
        </w:tc>
        <w:tc>
          <w:tcPr>
            <w:tcW w:type="dxa" w:w="7937"/>
          </w:tcPr>
          <w:p>
            <w:r/>
            <w:r>
              <w:rPr>
                <w:rFonts w:ascii="Public Sans" w:hAnsi="Public Sans"/>
                <w:sz w:val="16"/>
              </w:rPr>
              <w:t>QualityCheck, QualityCheckItem</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InspectionTemplateVersion</w:t>
            </w:r>
          </w:p>
        </w:tc>
        <w:tc>
          <w:tcPr>
            <w:tcW w:type="dxa" w:w="1134"/>
          </w:tcPr>
          <w:p>
            <w:r/>
            <w:r>
              <w:rPr>
                <w:rFonts w:ascii="Public Sans" w:hAnsi="Public Sans"/>
                <w:sz w:val="16"/>
              </w:rPr>
              <w:t>8</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 User</w:t>
            </w:r>
          </w:p>
        </w:tc>
      </w:tr>
      <w:tr>
        <w:tc>
          <w:tcPr>
            <w:tcW w:type="dxa" w:w="2835"/>
          </w:tcPr>
          <w:p>
            <w:r/>
            <w:r>
              <w:rPr>
                <w:rFonts w:ascii="IBM Plex Mono" w:hAnsi="IBM Plex Mono"/>
                <w:sz w:val="16"/>
              </w:rPr>
              <w:t>InspectionTemplateVersionItem</w:t>
            </w:r>
          </w:p>
        </w:tc>
        <w:tc>
          <w:tcPr>
            <w:tcW w:type="dxa" w:w="1134"/>
          </w:tcPr>
          <w:p>
            <w:r/>
            <w:r>
              <w:rPr>
                <w:rFonts w:ascii="Public Sans" w:hAnsi="Public Sans"/>
                <w:sz w:val="16"/>
              </w:rPr>
              <w:t>8</w:t>
            </w:r>
          </w:p>
        </w:tc>
        <w:tc>
          <w:tcPr>
            <w:tcW w:type="dxa" w:w="2268"/>
          </w:tcPr>
          <w:p>
            <w:r/>
            <w:r>
              <w:rPr>
                <w:rFonts w:ascii="Public Sans" w:hAnsi="Public Sans"/>
                <w:sz w:val="16"/>
              </w:rPr>
              <w:t>through InspectionTemplateVersion</w:t>
            </w:r>
          </w:p>
        </w:tc>
        <w:tc>
          <w:tcPr>
            <w:tcW w:type="dxa" w:w="7937"/>
          </w:tcPr>
          <w:p>
            <w:r/>
            <w:r>
              <w:rPr>
                <w:rFonts w:ascii="Public Sans" w:hAnsi="Public Sans"/>
                <w:sz w:val="16"/>
              </w:rPr>
              <w:t>InspectionTemplateVersion</w:t>
            </w:r>
          </w:p>
        </w:tc>
      </w:tr>
      <w:tr>
        <w:tc>
          <w:tcPr>
            <w:tcW w:type="dxa" w:w="2835"/>
          </w:tcPr>
          <w:p>
            <w:r/>
            <w:r>
              <w:rPr>
                <w:rFonts w:ascii="IBM Plex Mono" w:hAnsi="IBM Plex Mono"/>
                <w:sz w:val="16"/>
              </w:rPr>
              <w:t>Inspection</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InspectionTemplateVersion,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9108000" cy="5663358"/>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9108000" cy="5663358"/>
                    </a:xfrm>
                    <a:prstGeom prst="rect"/>
                  </pic:spPr>
                </pic:pic>
              </a:graphicData>
            </a:graphic>
          </wp:inline>
        </w:drawing>
      </w:r>
    </w:p>
    <w:p>
      <w:pPr>
        <w:spacing w:after="240"/>
        <w:jc w:val="center"/>
      </w:pPr>
      <w:r>
        <w:rPr>
          <w:rFonts w:ascii="Public Sans" w:hAnsi="Public Sans"/>
          <w:b w:val="0"/>
          <w:i/>
          <w:color w:val="6B7577"/>
          <w:sz w:val="18"/>
        </w:rPr>
        <w:t>Entity-relationship diagram: inspections, diagnosis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LabourRate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TaxComponent</w:t>
            </w:r>
          </w:p>
        </w:tc>
        <w:tc>
          <w:tcPr>
            <w:tcW w:type="dxa" w:w="1134"/>
          </w:tcPr>
          <w:p>
            <w:r/>
            <w:r>
              <w:rPr>
                <w:rFonts w:ascii="Public Sans" w:hAnsi="Public Sans"/>
                <w:sz w:val="16"/>
              </w:rPr>
              <w:t>6</w:t>
            </w:r>
          </w:p>
        </w:tc>
        <w:tc>
          <w:tcPr>
            <w:tcW w:type="dxa" w:w="2268"/>
          </w:tcPr>
          <w:p>
            <w:r/>
            <w:r>
              <w:rPr>
                <w:rFonts w:ascii="Public Sans" w:hAnsi="Public Sans"/>
                <w:sz w:val="16"/>
              </w:rPr>
              <w:t>through TaxRate</w:t>
            </w:r>
          </w:p>
        </w:tc>
        <w:tc>
          <w:tcPr>
            <w:tcW w:type="dxa" w:w="7937"/>
          </w:tcPr>
          <w:p>
            <w:r/>
            <w:r>
              <w:rPr>
                <w:rFonts w:ascii="Public Sans" w:hAnsi="Public Sans"/>
                <w:sz w:val="16"/>
              </w:rPr>
              <w:t>TaxRate</w:t>
            </w:r>
          </w:p>
        </w:tc>
      </w:tr>
      <w:tr>
        <w:tc>
          <w:tcPr>
            <w:tcW w:type="dxa" w:w="2835"/>
          </w:tcPr>
          <w:p>
            <w:r/>
            <w:r>
              <w:rPr>
                <w:rFonts w:ascii="IBM Plex Mono" w:hAnsi="IBM Plex Mono"/>
                <w:sz w:val="16"/>
              </w:rPr>
              <w:t>TaxEntry</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9108000" cy="5303113"/>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9108000" cy="5303113"/>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Refund,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44217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44217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18</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651644"/>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651644"/>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SupplierPart</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Product, User</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SupplierReturnLine</w:t>
            </w:r>
          </w:p>
        </w:tc>
        <w:tc>
          <w:tcPr>
            <w:tcW w:type="dxa" w:w="1134"/>
          </w:tcPr>
          <w:p>
            <w:r/>
            <w:r>
              <w:rPr>
                <w:rFonts w:ascii="Public Sans" w:hAnsi="Public Sans"/>
                <w:sz w:val="16"/>
              </w:rPr>
              <w:t>8</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PurchaseOrderLine, Product, Warehouse</w:t>
            </w:r>
          </w:p>
        </w:tc>
      </w:tr>
      <w:tr>
        <w:tc>
          <w:tcPr>
            <w:tcW w:type="dxa" w:w="2835"/>
          </w:tcPr>
          <w:p>
            <w:r/>
            <w:r>
              <w:rPr>
                <w:rFonts w:ascii="IBM Plex Mono" w:hAnsi="IBM Plex Mono"/>
                <w:sz w:val="16"/>
              </w:rPr>
              <w:t>SupplierCreditApplication</w:t>
            </w:r>
          </w:p>
        </w:tc>
        <w:tc>
          <w:tcPr>
            <w:tcW w:type="dxa" w:w="1134"/>
          </w:tcPr>
          <w:p>
            <w:r/>
            <w:r>
              <w:rPr>
                <w:rFonts w:ascii="Public Sans" w:hAnsi="Public Sans"/>
                <w:sz w:val="16"/>
              </w:rPr>
              <w:t>4</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SupplierBill</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9108000" cy="5677799"/>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9108000" cy="5677799"/>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PayAdjustment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Timesheet,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3117613"/>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3117613"/>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StaffNotification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OperatorAlert</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Coupon</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CouponRedemption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Coupon, Customer, Invoice, CounterSale, User</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2115654"/>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2115654"/>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Changed hands. The 3rd keeper.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15565612"/>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15565612"/>
                    </a:xfrm>
                    <a:prstGeom prst="rect"/>
                  </pic:spPr>
                </pic:pic>
              </a:graphicData>
            </a:graphic>
          </wp:inline>
        </w:drawing>
      </w:r>
    </w:p>
    <w:p>
      <w:pPr>
        <w:spacing w:after="240"/>
        <w:jc w:val="center"/>
      </w:pPr>
      <w:r>
        <w:rPr>
          <w:rFonts w:ascii="Public Sans" w:hAnsi="Public Sans"/>
          <w:b w:val="0"/>
          <w:i/>
          <w:color w:val="6B7577"/>
          <w:sz w:val="18"/>
        </w:rPr>
        <w:t>The control tower: what is in the building and what blocks each car, today's hours and rota, the customers waiting, the money, the parts in the way, and what will cost something by closing time.</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19440675"/>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19440675"/>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8730562"/>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8730562"/>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4669212"/>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4669212"/>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10716338"/>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10716338"/>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7560262"/>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7560262"/>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9001350"/>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9001350"/>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748362"/>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748362"/>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97250"/>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97250"/>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64838"/>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64838"/>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244431"/>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244431"/>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558892"/>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558892"/>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77953600"/>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77953600"/>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verify-alerts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verify-awkward</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verify-belonging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verify-books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verify-clock</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verify-close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verify-comeback</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verify-coupons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verify-courtesy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verify-diary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verify-dictionary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verify-engines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verify-equipment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verify-erasure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verify-first-day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verify-fleet-numbers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verify-followups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verify-health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verify-knowledge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the scan for text outside the translator and for refusals without translations, thirteen pages read in each language for the direction, a known sentence and no English left, and the switcher's cookie, account and redirect</w:t>
            </w:r>
          </w:p>
        </w:tc>
      </w:tr>
      <w:tr>
        <w:tc>
          <w:tcPr>
            <w:tcW w:type="dxa" w:w="2551"/>
          </w:tcPr>
          <w:p>
            <w:r/>
            <w:r>
              <w:rPr>
                <w:rFonts w:ascii="IBM Plex Mono" w:hAnsi="IBM Plex Mono"/>
                <w:sz w:val="16"/>
              </w:rPr>
              <w:t>verify-launch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verify-morning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verify-navigation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verify-opening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verify-owner</w:t>
            </w:r>
          </w:p>
        </w:tc>
        <w:tc>
          <w:tcPr>
            <w:tcW w:type="dxa" w:w="6860"/>
          </w:tcPr>
          <w:p>
            <w:r/>
            <w:r>
              <w:rPr>
                <w:rFonts w:ascii="Public Sans" w:hAnsi="Public Sans"/>
                <w:sz w:val="16"/>
              </w:rPr>
              <w:t>a comeback offered, refused without a reason or on another car, recorded, counted against the technician and taken off; the reputation trend moved by an answer; two suppliers of a part compared and one read as slower; the pages, the dashboard in French</w:t>
            </w:r>
          </w:p>
        </w:tc>
      </w:tr>
      <w:tr>
        <w:tc>
          <w:tcPr>
            <w:tcW w:type="dxa" w:w="2551"/>
          </w:tcPr>
          <w:p>
            <w:r/>
            <w:r>
              <w:rPr>
                <w:rFonts w:ascii="IBM Plex Mono" w:hAnsi="IBM Plex Mono"/>
                <w:sz w:val="16"/>
              </w:rPr>
              <w:t>verify-ownership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verify-paint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verify-paper</w:t>
            </w:r>
          </w:p>
        </w:tc>
        <w:tc>
          <w:tcPr>
            <w:tcW w:type="dxa" w:w="6860"/>
          </w:tcPr>
          <w:p>
            <w:r/>
            <w:r>
              <w:rPr>
                <w:rFonts w:ascii="Public Sans" w:hAnsi="Public Sans"/>
                <w:sz w:val="16"/>
              </w:rPr>
              <w:t>all seven documents as the owner with their words and QR codes, in French and Arabic; the invoice as a real PDF for the owner and the customer; technician, customer, another workshop and a signed-out visitor each reading only what they may; a run of labels refused past the cap</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verify-performance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verify-pilot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verify-providers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verify-quality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verify-receiving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verify-recovery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verify-repeat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verify-returns</w:t>
            </w:r>
          </w:p>
        </w:tc>
        <w:tc>
          <w:tcPr>
            <w:tcW w:type="dxa" w:w="6860"/>
          </w:tcPr>
          <w:p>
            <w:r/>
            <w:r>
              <w:rPr>
                <w:rFonts w:ascii="Public Sans" w:hAnsi="Public Sans"/>
                <w:sz w:val="16"/>
              </w:rPr>
              <w:t>an order delivered and billed, faulty parts sent back and credited off the bill, a refusal written off, a core credited with the leftover held for the next bill, sublet work billed and invoiced, and the trial balance</w:t>
            </w:r>
          </w:p>
        </w:tc>
      </w:tr>
      <w:tr>
        <w:tc>
          <w:tcPr>
            <w:tcW w:type="dxa" w:w="2551"/>
          </w:tcPr>
          <w:p>
            <w:r/>
            <w:r>
              <w:rPr>
                <w:rFonts w:ascii="IBM Plex Mono" w:hAnsi="IBM Plex Mono"/>
                <w:sz w:val="16"/>
              </w:rPr>
              <w:t>verify-scanning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verify-scoping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verify-screens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verify-search</w:t>
            </w:r>
          </w:p>
        </w:tc>
        <w:tc>
          <w:tcPr>
            <w:tcW w:type="dxa" w:w="6860"/>
          </w:tcPr>
          <w:p>
            <w:r/>
            <w:r>
              <w:rPr>
                <w:rFonts w:ascii="Public Sans" w:hAnsi="Public Sans"/>
                <w:sz w:val="16"/>
              </w:rPr>
              <w:t>a car by its plate typed two ways and its VIN, a customer by their number, a job, an invoice and a part exactly, a name as a list; a decision and a part request notifying the right people, and the screens</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verify-signoff</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verify-sourcing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verify-specification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verify-standing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verify-status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verify-survival</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verify-tax</w:t>
            </w:r>
          </w:p>
        </w:tc>
        <w:tc>
          <w:tcPr>
            <w:tcW w:type="dxa" w:w="6860"/>
          </w:tcPr>
          <w:p>
            <w:r/>
            <w:r>
              <w:rPr>
                <w:rFonts w:ascii="Public Sans" w:hAnsi="Public Sans"/>
                <w:sz w:val="16"/>
              </w:rPr>
              <w:t>a rate of two taxes saved and refused three ways, a site's rate taken by a new line, an invoice declaring each tax and refusing a rewrite, a credit note giving each back, an exempt customer refused without a certificate and invoiced without tax, prices with tax in, a counter sale, the report moving by exactly what was declared, and the pages</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verify-tenancy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verify-throughout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verify-tower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verify-triggers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verify-versions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verify-wiring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r>
        <w:tc>
          <w:tcPr>
            <w:tcW w:type="dxa" w:w="2551"/>
          </w:tcPr>
          <w:p>
            <w:r/>
            <w:r>
              <w:rPr>
                <w:rFonts w:ascii="IBM Plex Mono" w:hAnsi="IBM Plex Mono"/>
                <w:sz w:val="16"/>
              </w:rPr>
              <w:t>verify-writes</w:t>
            </w:r>
          </w:p>
        </w:tc>
        <w:tc>
          <w:tcPr>
            <w:tcW w:type="dxa" w:w="6860"/>
          </w:tcPr>
          <w:p>
            <w:r/>
            <w:r>
              <w:rPr>
                <w:rFonts w:ascii="Public Sans" w:hAnsi="Public Sans"/>
                <w:sz w:val="16"/>
              </w:rPr>
              <w:t>the capability it is named for, end to end, against a real database</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Equipment, JobTypeEquipment, User, Membership, Session, LoginAttempt, AuthToken, Invitation, ApiKey, AuditLog, OutboxEvent, OnceRequest, SyncedAction, ImportBatch, DayClose, DayCloseReading</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VinDecode, HandoverInvitation, VehicleEvent, VehicleEventAttachment, VehicleOwnership, OdometerReading, VehicleAccessGrant, PassportShare, PassportShareAccess, Recall, VehicleRecall, VehicleDocument, VehicleClaim, PartFitment, VehicleSpecification, ProductSitePrice</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FleetNumber,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 JobSublet, CourtesyVehicle, CourtesyLoan</w:t>
      </w:r>
    </w:p>
    <w:p>
      <w:pPr>
        <w:keepNext/>
        <w:spacing w:after="40"/>
      </w:pPr>
      <w:r>
        <w:rPr>
          <w:rFonts w:ascii="Public Sans" w:hAnsi="Public Sans"/>
          <w:b/>
          <w:i w:val="0"/>
          <w:color w:val="9A6D24"/>
          <w:sz w:val="17"/>
        </w:rPr>
        <w:t>INSPECTIONS, DIAGNOSIS AND ESTIMATES</w:t>
      </w:r>
    </w:p>
    <w:p>
      <w:pPr>
        <w:spacing w:after="160"/>
      </w:pPr>
      <w:r>
        <w:rPr>
          <w:rFonts w:ascii="IBM Plex Mono" w:hAnsi="IBM Plex Mono"/>
          <w:b w:val="0"/>
          <w:i w:val="0"/>
          <w:color w:val="1A2022"/>
          <w:sz w:val="18"/>
        </w:rPr>
        <w:t>SymptomCode, CauseCode, JobDiagnosis, DiagnosisCause, QualityCheckItem, QualityCheckAnswer, InspectionTemplate, InspectionTemplateSection, InspectionTemplateItem, InspectionTemplateVersion, InspectionTemplateVersionItem,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LabourRate, TaxComponent, TaxEntry,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SupplierPart, PurchaseRequest, PurchaseOrder, PurchaseOrderLine, GoodsReceipt, GoodsReceiptLine, SupplierBill, SupplierReturn, SupplierReturnLine, SupplierCreditApplication,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PayAdjustment,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StaffNotification, SuppressedAddress, DeliveryEvent, OperatorAlert, ReviewRequest, LoyaltyEntry, Referral, Coupon, CouponRedemption,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r>
        <w:tc>
          <w:tcPr>
            <w:tcW w:type="dxa" w:w="5669"/>
          </w:tcPr>
          <w:p>
            <w:r/>
            <w:r>
              <w:rPr>
                <w:rFonts w:ascii="IBM Plex Mono" w:hAnsi="IBM Plex Mono"/>
                <w:sz w:val="16"/>
              </w:rPr>
              <w:t>returns_and_sublet</w:t>
            </w:r>
          </w:p>
        </w:tc>
        <w:tc>
          <w:tcPr>
            <w:tcW w:type="dxa" w:w="3742"/>
          </w:tcPr>
          <w:p>
            <w:r/>
            <w:r>
              <w:rPr>
                <w:rFonts w:ascii="Public Sans" w:hAnsi="Public Sans"/>
                <w:sz w:val="16"/>
              </w:rPr>
              <w:t>2026-09-15</w:t>
            </w:r>
          </w:p>
        </w:tc>
      </w:tr>
      <w:tr>
        <w:tc>
          <w:tcPr>
            <w:tcW w:type="dxa" w:w="5669"/>
          </w:tcPr>
          <w:p>
            <w:r/>
            <w:r>
              <w:rPr>
                <w:rFonts w:ascii="IBM Plex Mono" w:hAnsi="IBM Plex Mono"/>
                <w:sz w:val="16"/>
              </w:rPr>
              <w:t>search_and_notifications</w:t>
            </w:r>
          </w:p>
        </w:tc>
        <w:tc>
          <w:tcPr>
            <w:tcW w:type="dxa" w:w="3742"/>
          </w:tcPr>
          <w:p>
            <w:r/>
            <w:r>
              <w:rPr>
                <w:rFonts w:ascii="Public Sans" w:hAnsi="Public Sans"/>
                <w:sz w:val="16"/>
              </w:rPr>
              <w:t>2026-09-15</w:t>
            </w:r>
          </w:p>
        </w:tc>
      </w:tr>
      <w:tr>
        <w:tc>
          <w:tcPr>
            <w:tcW w:type="dxa" w:w="5669"/>
          </w:tcPr>
          <w:p>
            <w:r/>
            <w:r>
              <w:rPr>
                <w:rFonts w:ascii="IBM Plex Mono" w:hAnsi="IBM Plex Mono"/>
                <w:sz w:val="16"/>
              </w:rPr>
              <w:t>comebacks</w:t>
            </w:r>
          </w:p>
        </w:tc>
        <w:tc>
          <w:tcPr>
            <w:tcW w:type="dxa" w:w="3742"/>
          </w:tcPr>
          <w:p>
            <w:r/>
            <w:r>
              <w:rPr>
                <w:rFonts w:ascii="Public Sans" w:hAnsi="Public Sans"/>
                <w:sz w:val="16"/>
              </w:rPr>
              <w:t>2026-09-15</w:t>
            </w:r>
          </w:p>
        </w:tc>
      </w:tr>
      <w:tr>
        <w:tc>
          <w:tcPr>
            <w:tcW w:type="dxa" w:w="5669"/>
          </w:tcPr>
          <w:p>
            <w:r/>
            <w:r>
              <w:rPr>
                <w:rFonts w:ascii="IBM Plex Mono" w:hAnsi="IBM Plex Mono"/>
                <w:sz w:val="16"/>
              </w:rPr>
              <w:t>tax_configurable</w:t>
            </w:r>
          </w:p>
        </w:tc>
        <w:tc>
          <w:tcPr>
            <w:tcW w:type="dxa" w:w="3742"/>
          </w:tcPr>
          <w:p>
            <w:r/>
            <w:r>
              <w:rPr>
                <w:rFonts w:ascii="Public Sans" w:hAnsi="Public Sans"/>
                <w:sz w:val="16"/>
              </w:rPr>
              <w:t>2026-09-15</w:t>
            </w:r>
          </w:p>
        </w:tc>
      </w:tr>
      <w:tr>
        <w:tc>
          <w:tcPr>
            <w:tcW w:type="dxa" w:w="5669"/>
          </w:tcPr>
          <w:p>
            <w:r/>
            <w:r>
              <w:rPr>
                <w:rFonts w:ascii="IBM Plex Mono" w:hAnsi="IBM Plex Mono"/>
                <w:sz w:val="16"/>
              </w:rPr>
              <w:t>providers</w:t>
            </w:r>
          </w:p>
        </w:tc>
        <w:tc>
          <w:tcPr>
            <w:tcW w:type="dxa" w:w="3742"/>
          </w:tcPr>
          <w:p>
            <w:r/>
            <w:r>
              <w:rPr>
                <w:rFonts w:ascii="Public Sans" w:hAnsi="Public Sans"/>
                <w:sz w:val="16"/>
              </w:rPr>
              <w:t>2026-09-15</w:t>
            </w:r>
          </w:p>
        </w:tc>
      </w:tr>
      <w:tr>
        <w:tc>
          <w:tcPr>
            <w:tcW w:type="dxa" w:w="5669"/>
          </w:tcPr>
          <w:p>
            <w:r/>
            <w:r>
              <w:rPr>
                <w:rFonts w:ascii="IBM Plex Mono" w:hAnsi="IBM Plex Mono"/>
                <w:sz w:val="16"/>
              </w:rPr>
              <w:t>ownership_warranty_sites</w:t>
            </w:r>
          </w:p>
        </w:tc>
        <w:tc>
          <w:tcPr>
            <w:tcW w:type="dxa" w:w="3742"/>
          </w:tcPr>
          <w:p>
            <w:r/>
            <w:r>
              <w:rPr>
                <w:rFonts w:ascii="Public Sans" w:hAnsi="Public Sans"/>
                <w:sz w:val="16"/>
              </w:rPr>
              <w:t>2026-09-15</w:t>
            </w:r>
          </w:p>
        </w:tc>
      </w:tr>
      <w:tr>
        <w:tc>
          <w:tcPr>
            <w:tcW w:type="dxa" w:w="5669"/>
          </w:tcPr>
          <w:p>
            <w:r/>
            <w:r>
              <w:rPr>
                <w:rFonts w:ascii="IBM Plex Mono" w:hAnsi="IBM Plex Mono"/>
                <w:sz w:val="16"/>
              </w:rPr>
              <w:t>the_first_day</w:t>
            </w:r>
          </w:p>
        </w:tc>
        <w:tc>
          <w:tcPr>
            <w:tcW w:type="dxa" w:w="3742"/>
          </w:tcPr>
          <w:p>
            <w:r/>
            <w:r>
              <w:rPr>
                <w:rFonts w:ascii="Public Sans" w:hAnsi="Public Sans"/>
                <w:sz w:val="16"/>
              </w:rPr>
              <w:t>2026-09-15</w:t>
            </w:r>
          </w:p>
        </w:tc>
      </w:tr>
      <w:tr>
        <w:tc>
          <w:tcPr>
            <w:tcW w:type="dxa" w:w="5669"/>
          </w:tcPr>
          <w:p>
            <w:r/>
            <w:r>
              <w:rPr>
                <w:rFonts w:ascii="IBM Plex Mono" w:hAnsi="IBM Plex Mono"/>
                <w:sz w:val="16"/>
              </w:rPr>
              <w:t>coupons</w:t>
            </w:r>
          </w:p>
        </w:tc>
        <w:tc>
          <w:tcPr>
            <w:tcW w:type="dxa" w:w="3742"/>
          </w:tcPr>
          <w:p>
            <w:r/>
            <w:r>
              <w:rPr>
                <w:rFonts w:ascii="Public Sans" w:hAnsi="Public Sans"/>
                <w:sz w:val="16"/>
              </w:rPr>
              <w:t>2026-09-16</w:t>
            </w:r>
          </w:p>
        </w:tc>
      </w:tr>
      <w:tr>
        <w:tc>
          <w:tcPr>
            <w:tcW w:type="dxa" w:w="5669"/>
          </w:tcPr>
          <w:p>
            <w:r/>
            <w:r>
              <w:rPr>
                <w:rFonts w:ascii="IBM Plex Mono" w:hAnsi="IBM Plex Mono"/>
                <w:sz w:val="16"/>
              </w:rPr>
              <w:t>coupon_tender</w:t>
            </w:r>
          </w:p>
        </w:tc>
        <w:tc>
          <w:tcPr>
            <w:tcW w:type="dxa" w:w="3742"/>
          </w:tcPr>
          <w:p>
            <w:r/>
            <w:r>
              <w:rPr>
                <w:rFonts w:ascii="Public Sans" w:hAnsi="Public Sans"/>
                <w:sz w:val="16"/>
              </w:rPr>
              <w:t>2026-09-16</w:t>
            </w:r>
          </w:p>
        </w:tc>
      </w:tr>
      <w:tr>
        <w:tc>
          <w:tcPr>
            <w:tcW w:type="dxa" w:w="5669"/>
          </w:tcPr>
          <w:p>
            <w:r/>
            <w:r>
              <w:rPr>
                <w:rFonts w:ascii="IBM Plex Mono" w:hAnsi="IBM Plex Mono"/>
                <w:sz w:val="16"/>
              </w:rPr>
              <w:t>repeating_a_write</w:t>
            </w:r>
          </w:p>
        </w:tc>
        <w:tc>
          <w:tcPr>
            <w:tcW w:type="dxa" w:w="3742"/>
          </w:tcPr>
          <w:p>
            <w:r/>
            <w:r>
              <w:rPr>
                <w:rFonts w:ascii="Public Sans" w:hAnsi="Public Sans"/>
                <w:sz w:val="16"/>
              </w:rPr>
              <w:t>2026-09-16</w:t>
            </w:r>
          </w:p>
        </w:tc>
      </w:tr>
      <w:tr>
        <w:tc>
          <w:tcPr>
            <w:tcW w:type="dxa" w:w="5669"/>
          </w:tcPr>
          <w:p>
            <w:r/>
            <w:r>
              <w:rPr>
                <w:rFonts w:ascii="IBM Plex Mono" w:hAnsi="IBM Plex Mono"/>
                <w:sz w:val="16"/>
              </w:rPr>
              <w:t>once_requests</w:t>
            </w:r>
          </w:p>
        </w:tc>
        <w:tc>
          <w:tcPr>
            <w:tcW w:type="dxa" w:w="3742"/>
          </w:tcPr>
          <w:p>
            <w:r/>
            <w:r>
              <w:rPr>
                <w:rFonts w:ascii="Public Sans" w:hAnsi="Public Sans"/>
                <w:sz w:val="16"/>
              </w:rPr>
              <w:t>2026-09-16</w:t>
            </w:r>
          </w:p>
        </w:tc>
      </w:tr>
      <w:tr>
        <w:tc>
          <w:tcPr>
            <w:tcW w:type="dxa" w:w="5669"/>
          </w:tcPr>
          <w:p>
            <w:r/>
            <w:r>
              <w:rPr>
                <w:rFonts w:ascii="IBM Plex Mono" w:hAnsi="IBM Plex Mono"/>
                <w:sz w:val="16"/>
              </w:rPr>
              <w:t>one_posting_per_document</w:t>
            </w:r>
          </w:p>
        </w:tc>
        <w:tc>
          <w:tcPr>
            <w:tcW w:type="dxa" w:w="3742"/>
          </w:tcPr>
          <w:p>
            <w:r/>
            <w:r>
              <w:rPr>
                <w:rFonts w:ascii="Public Sans" w:hAnsi="Public Sans"/>
                <w:sz w:val="16"/>
              </w:rPr>
              <w:t>2026-09-16</w:t>
            </w:r>
          </w:p>
        </w:tc>
      </w:tr>
      <w:tr>
        <w:tc>
          <w:tcPr>
            <w:tcW w:type="dxa" w:w="5669"/>
          </w:tcPr>
          <w:p>
            <w:r/>
            <w:r>
              <w:rPr>
                <w:rFonts w:ascii="IBM Plex Mono" w:hAnsi="IBM Plex Mono"/>
                <w:sz w:val="16"/>
              </w:rPr>
              <w:t>one_credit_per_refund</w:t>
            </w:r>
          </w:p>
        </w:tc>
        <w:tc>
          <w:tcPr>
            <w:tcW w:type="dxa" w:w="3742"/>
          </w:tcPr>
          <w:p>
            <w:r/>
            <w:r>
              <w:rPr>
                <w:rFonts w:ascii="Public Sans" w:hAnsi="Public Sans"/>
                <w:sz w:val="16"/>
              </w:rPr>
              <w:t>2026-09-16</w:t>
            </w:r>
          </w:p>
        </w:tc>
      </w:tr>
      <w:tr>
        <w:tc>
          <w:tcPr>
            <w:tcW w:type="dxa" w:w="5669"/>
          </w:tcPr>
          <w:p>
            <w:r/>
            <w:r>
              <w:rPr>
                <w:rFonts w:ascii="IBM Plex Mono" w:hAnsi="IBM Plex Mono"/>
                <w:sz w:val="16"/>
              </w:rPr>
              <w:t>expense_numbering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one_referral_code</w:t>
            </w:r>
          </w:p>
        </w:tc>
        <w:tc>
          <w:tcPr>
            <w:tcW w:type="dxa" w:w="3742"/>
          </w:tcPr>
          <w:p>
            <w:r/>
            <w:r>
              <w:rPr>
                <w:rFonts w:ascii="Public Sans" w:hAnsi="Public Sans"/>
                <w:sz w:val="16"/>
              </w:rPr>
              <w:t>2026-09-16</w:t>
            </w:r>
          </w:p>
        </w:tc>
      </w:tr>
      <w:tr>
        <w:tc>
          <w:tcPr>
            <w:tcW w:type="dxa" w:w="5669"/>
          </w:tcPr>
          <w:p>
            <w:r/>
            <w:r>
              <w:rPr>
                <w:rFonts w:ascii="IBM Plex Mono" w:hAnsi="IBM Plex Mono"/>
                <w:sz w:val="16"/>
              </w:rPr>
              <w:t>transfer_numbering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line_totals_include_tax</w:t>
            </w:r>
          </w:p>
        </w:tc>
        <w:tc>
          <w:tcPr>
            <w:tcW w:type="dxa" w:w="3742"/>
          </w:tcPr>
          <w:p>
            <w:r/>
            <w:r>
              <w:rPr>
                <w:rFonts w:ascii="Public Sans" w:hAnsi="Public Sans"/>
                <w:sz w:val="16"/>
              </w:rPr>
              <w:t>2026-09-16</w:t>
            </w:r>
          </w:p>
        </w:tc>
      </w:tr>
      <w:tr>
        <w:tc>
          <w:tcPr>
            <w:tcW w:type="dxa" w:w="5669"/>
          </w:tcPr>
          <w:p>
            <w:r/>
            <w:r>
              <w:rPr>
                <w:rFonts w:ascii="IBM Plex Mono" w:hAnsi="IBM Plex Mono"/>
                <w:sz w:val="16"/>
              </w:rPr>
              <w:t>periods_closed_after_their_entries</w:t>
            </w:r>
          </w:p>
        </w:tc>
        <w:tc>
          <w:tcPr>
            <w:tcW w:type="dxa" w:w="3742"/>
          </w:tcPr>
          <w:p>
            <w:r/>
            <w:r>
              <w:rPr>
                <w:rFonts w:ascii="Public Sans" w:hAnsi="Public Sans"/>
                <w:sz w:val="16"/>
              </w:rPr>
              <w:t>2026-09-17</w:t>
            </w:r>
          </w:p>
        </w:tc>
      </w:tr>
      <w:tr>
        <w:tc>
          <w:tcPr>
            <w:tcW w:type="dxa" w:w="5669"/>
          </w:tcPr>
          <w:p>
            <w:r/>
            <w:r>
              <w:rPr>
                <w:rFonts w:ascii="IBM Plex Mono" w:hAnsi="IBM Plex Mono"/>
                <w:sz w:val="16"/>
              </w:rPr>
              <w:t>a_job_grants_access</w:t>
            </w:r>
          </w:p>
        </w:tc>
        <w:tc>
          <w:tcPr>
            <w:tcW w:type="dxa" w:w="3742"/>
          </w:tcPr>
          <w:p>
            <w:r/>
            <w:r>
              <w:rPr>
                <w:rFonts w:ascii="Public Sans" w:hAnsi="Public Sans"/>
                <w:sz w:val="16"/>
              </w:rPr>
              <w:t>2026-09-17</w:t>
            </w:r>
          </w:p>
        </w:tc>
      </w:tr>
      <w:tr>
        <w:tc>
          <w:tcPr>
            <w:tcW w:type="dxa" w:w="5669"/>
          </w:tcPr>
          <w:p>
            <w:r/>
            <w:r>
              <w:rPr>
                <w:rFonts w:ascii="IBM Plex Mono" w:hAnsi="IBM Plex Mono"/>
                <w:sz w:val="16"/>
              </w:rPr>
              <w:t>one_unused_referral_code</w:t>
            </w:r>
          </w:p>
        </w:tc>
        <w:tc>
          <w:tcPr>
            <w:tcW w:type="dxa" w:w="3742"/>
          </w:tcPr>
          <w:p>
            <w:r/>
            <w:r>
              <w:rPr>
                <w:rFonts w:ascii="Public Sans" w:hAnsi="Public Sans"/>
                <w:sz w:val="16"/>
              </w:rPr>
              <w:t>2026-09-19</w:t>
            </w:r>
          </w:p>
        </w:tc>
      </w:tr>
      <w:tr>
        <w:tc>
          <w:tcPr>
            <w:tcW w:type="dxa" w:w="5669"/>
          </w:tcPr>
          <w:p>
            <w:r/>
            <w:r>
              <w:rPr>
                <w:rFonts w:ascii="IBM Plex Mono" w:hAnsi="IBM Plex Mono"/>
                <w:sz w:val="16"/>
              </w:rPr>
              <w:t>operator_alerts</w:t>
            </w:r>
          </w:p>
        </w:tc>
        <w:tc>
          <w:tcPr>
            <w:tcW w:type="dxa" w:w="3742"/>
          </w:tcPr>
          <w:p>
            <w:r/>
            <w:r>
              <w:rPr>
                <w:rFonts w:ascii="Public Sans" w:hAnsi="Public Sans"/>
                <w:sz w:val="16"/>
              </w:rPr>
              <w:t>2026-09-19</w:t>
            </w:r>
          </w:p>
        </w:tc>
      </w:tr>
      <w:tr>
        <w:tc>
          <w:tcPr>
            <w:tcW w:type="dxa" w:w="5669"/>
          </w:tcPr>
          <w:p>
            <w:r/>
            <w:r>
              <w:rPr>
                <w:rFonts w:ascii="IBM Plex Mono" w:hAnsi="IBM Plex Mono"/>
                <w:sz w:val="16"/>
              </w:rPr>
              <w:t>a_trace_from_the_press</w:t>
            </w:r>
          </w:p>
        </w:tc>
        <w:tc>
          <w:tcPr>
            <w:tcW w:type="dxa" w:w="3742"/>
          </w:tcPr>
          <w:p>
            <w:r/>
            <w:r>
              <w:rPr>
                <w:rFonts w:ascii="Public Sans" w:hAnsi="Public Sans"/>
                <w:sz w:val="16"/>
              </w:rPr>
              <w:t>2026-09-20</w:t>
            </w:r>
          </w:p>
        </w:tc>
      </w:tr>
      <w:tr>
        <w:tc>
          <w:tcPr>
            <w:tcW w:type="dxa" w:w="5669"/>
          </w:tcPr>
          <w:p>
            <w:r/>
            <w:r>
              <w:rPr>
                <w:rFonts w:ascii="IBM Plex Mono" w:hAnsi="IBM Plex Mono"/>
                <w:sz w:val="16"/>
              </w:rPr>
              <w:t>one_permitted_redaction</w:t>
            </w:r>
          </w:p>
        </w:tc>
        <w:tc>
          <w:tcPr>
            <w:tcW w:type="dxa" w:w="3742"/>
          </w:tcPr>
          <w:p>
            <w:r/>
            <w:r>
              <w:rPr>
                <w:rFonts w:ascii="Public Sans" w:hAnsi="Public Sans"/>
                <w:sz w:val="16"/>
              </w:rPr>
              <w:t>2026-09-20</w:t>
            </w:r>
          </w:p>
        </w:tc>
      </w:tr>
      <w:tr>
        <w:tc>
          <w:tcPr>
            <w:tcW w:type="dxa" w:w="5669"/>
          </w:tcPr>
          <w:p>
            <w:r/>
            <w:r>
              <w:rPr>
                <w:rFonts w:ascii="IBM Plex Mono" w:hAnsi="IBM Plex Mono"/>
                <w:sz w:val="16"/>
              </w:rPr>
              <w:t>redaction_knows_about_trace</w:t>
            </w:r>
          </w:p>
        </w:tc>
        <w:tc>
          <w:tcPr>
            <w:tcW w:type="dxa" w:w="3742"/>
          </w:tcPr>
          <w:p>
            <w:r/>
            <w:r>
              <w:rPr>
                <w:rFonts w:ascii="Public Sans" w:hAnsi="Public Sans"/>
                <w:sz w:val="16"/>
              </w:rPr>
              <w:t>2026-09-20</w:t>
            </w:r>
          </w:p>
        </w:tc>
      </w:tr>
      <w:tr>
        <w:tc>
          <w:tcPr>
            <w:tcW w:type="dxa" w:w="5669"/>
          </w:tcPr>
          <w:p>
            <w:r/>
            <w:r>
              <w:rPr>
                <w:rFonts w:ascii="IBM Plex Mono" w:hAnsi="IBM Plex Mono"/>
                <w:sz w:val="16"/>
              </w:rPr>
              <w:t>follow_ups_that_work</w:t>
            </w:r>
          </w:p>
        </w:tc>
        <w:tc>
          <w:tcPr>
            <w:tcW w:type="dxa" w:w="3742"/>
          </w:tcPr>
          <w:p>
            <w:r/>
            <w:r>
              <w:rPr>
                <w:rFonts w:ascii="Public Sans" w:hAnsi="Public Sans"/>
                <w:sz w:val="16"/>
              </w:rPr>
              <w:t>2026-09-23</w:t>
            </w:r>
          </w:p>
        </w:tc>
      </w:tr>
      <w:tr>
        <w:tc>
          <w:tcPr>
            <w:tcW w:type="dxa" w:w="5669"/>
          </w:tcPr>
          <w:p>
            <w:r/>
            <w:r>
              <w:rPr>
                <w:rFonts w:ascii="IBM Plex Mono" w:hAnsi="IBM Plex Mono"/>
                <w:sz w:val="16"/>
              </w:rPr>
              <w:t>the_courtesy_car</w:t>
            </w:r>
          </w:p>
        </w:tc>
        <w:tc>
          <w:tcPr>
            <w:tcW w:type="dxa" w:w="3742"/>
          </w:tcPr>
          <w:p>
            <w:r/>
            <w:r>
              <w:rPr>
                <w:rFonts w:ascii="Public Sans" w:hAnsi="Public Sans"/>
                <w:sz w:val="16"/>
              </w:rPr>
              <w:t>2026-09-23</w:t>
            </w:r>
          </w:p>
        </w:tc>
      </w:tr>
      <w:tr>
        <w:tc>
          <w:tcPr>
            <w:tcW w:type="dxa" w:w="5669"/>
          </w:tcPr>
          <w:p>
            <w:r/>
            <w:r>
              <w:rPr>
                <w:rFonts w:ascii="IBM Plex Mono" w:hAnsi="IBM Plex Mono"/>
                <w:sz w:val="16"/>
              </w:rPr>
              <w:t>what_the_fleet_calls_it</w:t>
            </w:r>
          </w:p>
        </w:tc>
        <w:tc>
          <w:tcPr>
            <w:tcW w:type="dxa" w:w="3742"/>
          </w:tcPr>
          <w:p>
            <w:r/>
            <w:r>
              <w:rPr>
                <w:rFonts w:ascii="Public Sans" w:hAnsi="Public Sans"/>
                <w:sz w:val="16"/>
              </w:rPr>
              <w:t>2026-09-23</w:t>
            </w:r>
          </w:p>
        </w:tc>
      </w:tr>
      <w:tr>
        <w:tc>
          <w:tcPr>
            <w:tcW w:type="dxa" w:w="5669"/>
          </w:tcPr>
          <w:p>
            <w:r/>
            <w:r>
              <w:rPr>
                <w:rFonts w:ascii="IBM Plex Mono" w:hAnsi="IBM Plex Mono"/>
                <w:sz w:val="16"/>
              </w:rPr>
              <w:t>the_passport_outlives_the_workshop</w:t>
            </w:r>
          </w:p>
        </w:tc>
        <w:tc>
          <w:tcPr>
            <w:tcW w:type="dxa" w:w="3742"/>
          </w:tcPr>
          <w:p>
            <w:r/>
            <w:r>
              <w:rPr>
                <w:rFonts w:ascii="Public Sans" w:hAnsi="Public Sans"/>
                <w:sz w:val="16"/>
              </w:rPr>
              <w:t>2026-09-24</w:t>
            </w:r>
          </w:p>
        </w:tc>
      </w:tr>
      <w:tr>
        <w:tc>
          <w:tcPr>
            <w:tcW w:type="dxa" w:w="5669"/>
          </w:tcPr>
          <w:p>
            <w:r/>
            <w:r>
              <w:rPr>
                <w:rFonts w:ascii="IBM Plex Mono" w:hAnsi="IBM Plex Mono"/>
                <w:sz w:val="16"/>
              </w:rPr>
              <w:t>the_corpus_not_the_guess</w:t>
            </w:r>
          </w:p>
        </w:tc>
        <w:tc>
          <w:tcPr>
            <w:tcW w:type="dxa" w:w="3742"/>
          </w:tcPr>
          <w:p>
            <w:r/>
            <w:r>
              <w:rPr>
                <w:rFonts w:ascii="Public Sans" w:hAnsi="Public Sans"/>
                <w:sz w:val="16"/>
              </w:rPr>
              <w:t>2026-09-27</w:t>
            </w:r>
          </w:p>
        </w:tc>
      </w:tr>
      <w:tr>
        <w:tc>
          <w:tcPr>
            <w:tcW w:type="dxa" w:w="5669"/>
          </w:tcPr>
          <w:p>
            <w:r/>
            <w:r>
              <w:rPr>
                <w:rFonts w:ascii="IBM Plex Mono" w:hAnsi="IBM Plex Mono"/>
                <w:sz w:val="16"/>
              </w:rPr>
              <w:t>the_gate_gets_a_key</w:t>
            </w:r>
          </w:p>
        </w:tc>
        <w:tc>
          <w:tcPr>
            <w:tcW w:type="dxa" w:w="3742"/>
          </w:tcPr>
          <w:p>
            <w:r/>
            <w:r>
              <w:rPr>
                <w:rFonts w:ascii="Public Sans" w:hAnsi="Public Sans"/>
                <w:sz w:val="16"/>
              </w:rPr>
              <w:t>2026-09-28</w:t>
            </w:r>
          </w:p>
        </w:tc>
      </w:tr>
      <w:tr>
        <w:tc>
          <w:tcPr>
            <w:tcW w:type="dxa" w:w="5669"/>
          </w:tcPr>
          <w:p>
            <w:r/>
            <w:r>
              <w:rPr>
                <w:rFonts w:ascii="IBM Plex Mono" w:hAnsi="IBM Plex Mono"/>
                <w:sz w:val="16"/>
              </w:rPr>
              <w:t>why_it_came_back</w:t>
            </w:r>
          </w:p>
        </w:tc>
        <w:tc>
          <w:tcPr>
            <w:tcW w:type="dxa" w:w="3742"/>
          </w:tcPr>
          <w:p>
            <w:r/>
            <w:r>
              <w:rPr>
                <w:rFonts w:ascii="Public Sans" w:hAnsi="Public Sans"/>
                <w:sz w:val="16"/>
              </w:rPr>
              <w:t>2026-09-28</w:t>
            </w:r>
          </w:p>
        </w:tc>
      </w:tr>
      <w:tr>
        <w:tc>
          <w:tcPr>
            <w:tcW w:type="dxa" w:w="5669"/>
          </w:tcPr>
          <w:p>
            <w:r/>
            <w:r>
              <w:rPr>
                <w:rFonts w:ascii="IBM Plex Mono" w:hAnsi="IBM Plex Mono"/>
                <w:sz w:val="16"/>
              </w:rPr>
              <w:t>where_to_buy_it</w:t>
            </w:r>
          </w:p>
        </w:tc>
        <w:tc>
          <w:tcPr>
            <w:tcW w:type="dxa" w:w="3742"/>
          </w:tcPr>
          <w:p>
            <w:r/>
            <w:r>
              <w:rPr>
                <w:rFonts w:ascii="Public Sans" w:hAnsi="Public Sans"/>
                <w:sz w:val="16"/>
              </w:rPr>
              <w:t>2026-09-28</w:t>
            </w:r>
          </w:p>
        </w:tc>
      </w:tr>
      <w:tr>
        <w:tc>
          <w:tcPr>
            <w:tcW w:type="dxa" w:w="5669"/>
          </w:tcPr>
          <w:p>
            <w:r/>
            <w:r>
              <w:rPr>
                <w:rFonts w:ascii="IBM Plex Mono" w:hAnsi="IBM Plex Mono"/>
                <w:sz w:val="16"/>
              </w:rPr>
              <w:t>what_the_car_takes</w:t>
            </w:r>
          </w:p>
        </w:tc>
        <w:tc>
          <w:tcPr>
            <w:tcW w:type="dxa" w:w="3742"/>
          </w:tcPr>
          <w:p>
            <w:r/>
            <w:r>
              <w:rPr>
                <w:rFonts w:ascii="Public Sans" w:hAnsi="Public Sans"/>
                <w:sz w:val="16"/>
              </w:rPr>
              <w:t>2026-09-29</w:t>
            </w:r>
          </w:p>
        </w:tc>
      </w:tr>
      <w:tr>
        <w:tc>
          <w:tcPr>
            <w:tcW w:type="dxa" w:w="5669"/>
          </w:tcPr>
          <w:p>
            <w:r/>
            <w:r>
              <w:rPr>
                <w:rFonts w:ascii="IBM Plex Mono" w:hAnsi="IBM Plex Mono"/>
                <w:sz w:val="16"/>
              </w:rPr>
              <w:t>the_machine_the_job_needs</w:t>
            </w:r>
          </w:p>
        </w:tc>
        <w:tc>
          <w:tcPr>
            <w:tcW w:type="dxa" w:w="3742"/>
          </w:tcPr>
          <w:p>
            <w:r/>
            <w:r>
              <w:rPr>
                <w:rFonts w:ascii="Public Sans" w:hAnsi="Public Sans"/>
                <w:sz w:val="16"/>
              </w:rPr>
              <w:t>2026-09-29</w:t>
            </w:r>
          </w:p>
        </w:tc>
      </w:tr>
      <w:tr>
        <w:tc>
          <w:tcPr>
            <w:tcW w:type="dxa" w:w="5669"/>
          </w:tcPr>
          <w:p>
            <w:r/>
            <w:r>
              <w:rPr>
                <w:rFonts w:ascii="IBM Plex Mono" w:hAnsi="IBM Plex Mono"/>
                <w:sz w:val="16"/>
              </w:rPr>
              <w:t>the_sheet_it_was_taken_on</w:t>
            </w:r>
          </w:p>
        </w:tc>
        <w:tc>
          <w:tcPr>
            <w:tcW w:type="dxa" w:w="3742"/>
          </w:tcPr>
          <w:p>
            <w:r/>
            <w:r>
              <w:rPr>
                <w:rFonts w:ascii="Public Sans" w:hAnsi="Public Sans"/>
                <w:sz w:val="16"/>
              </w:rPr>
              <w:t>2026-09-29</w:t>
            </w:r>
          </w:p>
        </w:tc>
      </w:tr>
      <w:tr>
        <w:tc>
          <w:tcPr>
            <w:tcW w:type="dxa" w:w="5669"/>
          </w:tcPr>
          <w:p>
            <w:r/>
            <w:r>
              <w:rPr>
                <w:rFonts w:ascii="IBM Plex Mono" w:hAnsi="IBM Plex Mono"/>
                <w:sz w:val="16"/>
              </w:rPr>
              <w:t>what_was_true_when_the_doors_shut</w:t>
            </w:r>
          </w:p>
        </w:tc>
        <w:tc>
          <w:tcPr>
            <w:tcW w:type="dxa" w:w="3742"/>
          </w:tcPr>
          <w:p>
            <w:r/>
            <w:r>
              <w:rPr>
                <w:rFonts w:ascii="Public Sans" w:hAnsi="Public Sans"/>
                <w:sz w:val="16"/>
              </w:rPr>
              <w:t>2026-10-01</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