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157</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90</w:t>
            </w:r>
          </w:p>
        </w:tc>
      </w:tr>
      <w:tr>
        <w:tc>
          <w:tcPr>
            <w:tcW w:type="dxa" w:w="4759"/>
          </w:tcPr>
          <w:p>
            <w:r>
              <w:t>Functional requirements</w:t>
            </w:r>
          </w:p>
        </w:tc>
        <w:tc>
          <w:tcPr>
            <w:tcW w:type="dxa" w:w="4759"/>
          </w:tcPr>
          <w:p>
            <w:pPr>
              <w:jc w:val="right"/>
            </w:pPr>
            <w:r>
              <w:t>799</w:t>
            </w:r>
          </w:p>
        </w:tc>
      </w:tr>
      <w:tr>
        <w:tc>
          <w:tcPr>
            <w:tcW w:type="dxa" w:w="4759"/>
          </w:tcPr>
          <w:p>
            <w:r>
              <w:t>Capabilities built</w:t>
            </w:r>
          </w:p>
        </w:tc>
        <w:tc>
          <w:tcPr>
            <w:tcW w:type="dxa" w:w="4759"/>
          </w:tcPr>
          <w:p>
            <w:pPr>
              <w:jc w:val="right"/>
            </w:pPr>
            <w:r>
              <w:t>418 of 422</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