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14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111</w:t>
            </w:r>
          </w:p>
        </w:tc>
      </w:tr>
      <w:tr>
        <w:tc>
          <w:tcPr>
            <w:tcW w:type="dxa" w:w="4759"/>
          </w:tcPr>
          <w:p>
            <w:r>
              <w:t>Database tables</w:t>
            </w:r>
          </w:p>
        </w:tc>
        <w:tc>
          <w:tcPr>
            <w:tcW w:type="dxa" w:w="4759"/>
          </w:tcPr>
          <w:p>
            <w:pPr>
              <w:jc w:val="right"/>
            </w:pPr>
            <w:r>
              <w:t>135</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49</w:t>
            </w:r>
          </w:p>
        </w:tc>
      </w:tr>
      <w:tr>
        <w:tc>
          <w:tcPr>
            <w:tcW w:type="dxa" w:w="4759"/>
          </w:tcPr>
          <w:p>
            <w:r>
              <w:t>Functional requirements</w:t>
            </w:r>
          </w:p>
        </w:tc>
        <w:tc>
          <w:tcPr>
            <w:tcW w:type="dxa" w:w="4759"/>
          </w:tcPr>
          <w:p>
            <w:pPr>
              <w:jc w:val="right"/>
            </w:pPr>
            <w:r>
              <w:t>534</w:t>
            </w:r>
          </w:p>
        </w:tc>
      </w:tr>
      <w:tr>
        <w:tc>
          <w:tcPr>
            <w:tcW w:type="dxa" w:w="4759"/>
          </w:tcPr>
          <w:p>
            <w:r>
              <w:t>Capabilities built</w:t>
            </w:r>
          </w:p>
        </w:tc>
        <w:tc>
          <w:tcPr>
            <w:tcW w:type="dxa" w:w="4759"/>
          </w:tcPr>
          <w:p>
            <w:pPr>
              <w:jc w:val="right"/>
            </w:pPr>
            <w:r>
              <w:t>188 of 203</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12</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