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36.</w:t>
      </w:r>
    </w:p>
    <w:p>
      <w:pPr>
        <w:spacing w:after="160"/>
      </w:pPr>
      <w:r>
        <w:rPr>
          <w:rFonts w:ascii="Public Sans" w:hAnsi="Public Sans"/>
          <w:b w:val="0"/>
          <w:i w:val="0"/>
          <w:color w:val="6B7577"/>
          <w:sz w:val="19"/>
        </w:rPr>
        <w:t>135 tables, 68 enumerations, 2124 columns; 43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135 tables in 12 domains, 68 enumerations, 2124 columns, defined in packages/db/prisma/schema.prisma and applied by 43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12</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3272640"/>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3272640"/>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bl>
    <w:p>
      <w:pPr>
        <w:spacing w:after="80"/>
      </w:pPr>
    </w:p>
    <w:p>
      <w:r>
        <w:br w:type="page"/>
      </w:r>
    </w:p>
    <w:p>
      <w:pPr>
        <w:jc w:val="center"/>
      </w:pPr>
      <w:r>
        <w:drawing>
          <wp:inline xmlns:a="http://schemas.openxmlformats.org/drawingml/2006/main" xmlns:pic="http://schemas.openxmlformats.org/drawingml/2006/picture">
            <wp:extent cx="9108000" cy="3162879"/>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3162879"/>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652425"/>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652425"/>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7597612"/>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7597612"/>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648615"/>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648615"/>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3501562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3501562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080985"/>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080985"/>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96962831"/>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96962831"/>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