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78</w:t>
            </w:r>
          </w:p>
        </w:tc>
      </w:tr>
      <w:tr>
        <w:tc>
          <w:tcPr>
            <w:tcW w:type="dxa" w:w="4759"/>
          </w:tcPr>
          <w:p>
            <w:r>
              <w:t>Functional requirements</w:t>
            </w:r>
          </w:p>
        </w:tc>
        <w:tc>
          <w:tcPr>
            <w:tcW w:type="dxa" w:w="4759"/>
          </w:tcPr>
          <w:p>
            <w:pPr>
              <w:jc w:val="right"/>
            </w:pPr>
            <w:r>
              <w:t>726</w:t>
            </w:r>
          </w:p>
        </w:tc>
      </w:tr>
      <w:tr>
        <w:tc>
          <w:tcPr>
            <w:tcW w:type="dxa" w:w="4759"/>
          </w:tcPr>
          <w:p>
            <w:r>
              <w:t>Capabilities built</w:t>
            </w:r>
          </w:p>
        </w:tc>
        <w:tc>
          <w:tcPr>
            <w:tcW w:type="dxa" w:w="4759"/>
          </w:tcPr>
          <w:p>
            <w:pPr>
              <w:jc w:val="right"/>
            </w:pPr>
            <w:r>
              <w:t>348 of 350</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