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128</w:t>
            </w:r>
          </w:p>
        </w:tc>
      </w:tr>
      <w:tr>
        <w:tc>
          <w:tcPr>
            <w:tcW w:type="dxa" w:w="4759"/>
          </w:tcPr>
          <w:p>
            <w:r>
              <w:t>Database tables</w:t>
            </w:r>
          </w:p>
        </w:tc>
        <w:tc>
          <w:tcPr>
            <w:tcW w:type="dxa" w:w="4759"/>
          </w:tcPr>
          <w:p>
            <w:pPr>
              <w:jc w:val="right"/>
            </w:pPr>
            <w:r>
              <w:t>154</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77</w:t>
            </w:r>
          </w:p>
        </w:tc>
      </w:tr>
      <w:tr>
        <w:tc>
          <w:tcPr>
            <w:tcW w:type="dxa" w:w="4759"/>
          </w:tcPr>
          <w:p>
            <w:r>
              <w:t>Functional requirements</w:t>
            </w:r>
          </w:p>
        </w:tc>
        <w:tc>
          <w:tcPr>
            <w:tcW w:type="dxa" w:w="4759"/>
          </w:tcPr>
          <w:p>
            <w:pPr>
              <w:jc w:val="right"/>
            </w:pPr>
            <w:r>
              <w:t>720</w:t>
            </w:r>
          </w:p>
        </w:tc>
      </w:tr>
      <w:tr>
        <w:tc>
          <w:tcPr>
            <w:tcW w:type="dxa" w:w="4759"/>
          </w:tcPr>
          <w:p>
            <w:r>
              <w:t>Capabilities built</w:t>
            </w:r>
          </w:p>
        </w:tc>
        <w:tc>
          <w:tcPr>
            <w:tcW w:type="dxa" w:w="4759"/>
          </w:tcPr>
          <w:p>
            <w:pPr>
              <w:jc w:val="right"/>
            </w:pPr>
            <w:r>
              <w:t>342 of 344</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