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LOAD-BEARING HYPOTHESIS</w:t>
            </w:r>
          </w:p>
          <w:p>
            <w:r>
              <w:rPr>
                <w:rFonts w:ascii="Georgia" w:hAnsi="Georgia"/>
                <w:color w:val="101718"/>
                <w:sz w:val="19"/>
              </w:rPr>
              <w:t>H2 matters most. If technicians do not record, the passport is empty, and without the passport this is just another workshop system. If H2 fails we stop and redesign the shop-floor interface before building anything else.</w:t>
            </w:r>
          </w:p>
        </w:tc>
      </w:tr>
    </w:tbl>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EXCLUDED</w:t>
            </w:r>
          </w:p>
        </w:tc>
        <w:tc>
          <w:tcPr>
            <w:tcW w:type="dxa" w:w="1134"/>
            <w:shd w:val="clear" w:fill="ECEFF0"/>
          </w:tcPr>
          <w:p>
            <w:r/>
            <w:r>
              <w:rPr>
                <w:rFonts w:ascii="Arial" w:hAnsi="Arial"/>
                <w:b/>
                <w:color w:val="0D3B3F"/>
                <w:sz w:val="15"/>
              </w:rPr>
              <w:t>PHASE</w:t>
            </w:r>
          </w:p>
        </w:tc>
        <w:tc>
          <w:tcPr>
            <w:tcW w:type="dxa" w:w="4819"/>
            <w:shd w:val="clear" w:fill="ECEFF0"/>
          </w:tcPr>
          <w:p>
            <w:r/>
            <w:r>
              <w:rPr>
                <w:rFonts w:ascii="Arial" w:hAnsi="Arial"/>
                <w:b/>
                <w:color w:val="0D3B3F"/>
                <w:sz w:val="15"/>
              </w:rPr>
              <w:t>WHY DEFERRED</w:t>
            </w:r>
          </w:p>
        </w:tc>
      </w:tr>
      <w:tr>
        <w:tc>
          <w:tcPr>
            <w:tcW w:type="dxa" w:w="3118"/>
          </w:tcPr>
          <w:p>
            <w:r/>
            <w:r>
              <w:rPr>
                <w:rFonts w:ascii="Georgia" w:hAnsi="Georgia"/>
                <w:color w:val="101718"/>
                <w:sz w:val="18"/>
              </w:rPr>
              <w:t>Inventory and stock control</w:t>
            </w:r>
          </w:p>
        </w:tc>
        <w:tc>
          <w:tcPr>
            <w:tcW w:type="dxa" w:w="1134"/>
          </w:tcPr>
          <w:p>
            <w:r/>
            <w:r>
              <w:rPr>
                <w:rFonts w:ascii="Georgia" w:hAnsi="Georgia"/>
                <w:color w:val="101718"/>
                <w:sz w:val="18"/>
              </w:rPr>
              <w:t>2</w:t>
            </w:r>
          </w:p>
        </w:tc>
        <w:tc>
          <w:tcPr>
            <w:tcW w:type="dxa" w:w="4819"/>
          </w:tcPr>
          <w:p>
            <w:r/>
            <w:r>
              <w:rPr>
                <w:rFonts w:ascii="Georgia" w:hAnsi="Georgia"/>
                <w:color w:val="101718"/>
                <w:sz w:val="18"/>
              </w:rPr>
              <w:t>Jobs can name parts as text with a cost until then</w:t>
            </w:r>
          </w:p>
        </w:tc>
      </w:tr>
      <w:tr>
        <w:tc>
          <w:tcPr>
            <w:tcW w:type="dxa" w:w="3118"/>
          </w:tcPr>
          <w:p>
            <w:r/>
            <w:r>
              <w:rPr>
                <w:rFonts w:ascii="Georgia" w:hAnsi="Georgia"/>
                <w:color w:val="101718"/>
                <w:sz w:val="18"/>
              </w:rPr>
              <w:t>Purchase orders and suppliers</w:t>
            </w:r>
          </w:p>
        </w:tc>
        <w:tc>
          <w:tcPr>
            <w:tcW w:type="dxa" w:w="1134"/>
          </w:tcPr>
          <w:p>
            <w:r/>
            <w:r>
              <w:rPr>
                <w:rFonts w:ascii="Georgia" w:hAnsi="Georgia"/>
                <w:color w:val="101718"/>
                <w:sz w:val="18"/>
              </w:rPr>
              <w:t>2</w:t>
            </w:r>
          </w:p>
        </w:tc>
        <w:tc>
          <w:tcPr>
            <w:tcW w:type="dxa" w:w="4819"/>
          </w:tcPr>
          <w:p>
            <w:r/>
            <w:r>
              <w:rPr>
                <w:rFonts w:ascii="Georgia" w:hAnsi="Georgia"/>
                <w:color w:val="101718"/>
                <w:sz w:val="18"/>
              </w:rPr>
              <w:t>No stock, no purchasing</w:t>
            </w:r>
          </w:p>
        </w:tc>
      </w:tr>
      <w:tr>
        <w:tc>
          <w:tcPr>
            <w:tcW w:type="dxa" w:w="3118"/>
          </w:tcPr>
          <w:p>
            <w:r/>
            <w:r>
              <w:rPr>
                <w:rFonts w:ascii="Georgia" w:hAnsi="Georgia"/>
                <w:color w:val="101718"/>
                <w:sz w:val="18"/>
              </w:rPr>
              <w:t>General ledger and accounting</w:t>
            </w:r>
          </w:p>
        </w:tc>
        <w:tc>
          <w:tcPr>
            <w:tcW w:type="dxa" w:w="1134"/>
          </w:tcPr>
          <w:p>
            <w:r/>
            <w:r>
              <w:rPr>
                <w:rFonts w:ascii="Georgia" w:hAnsi="Georgia"/>
                <w:color w:val="101718"/>
                <w:sz w:val="18"/>
              </w:rPr>
              <w:t>3</w:t>
            </w:r>
          </w:p>
        </w:tc>
        <w:tc>
          <w:tcPr>
            <w:tcW w:type="dxa" w:w="4819"/>
          </w:tcPr>
          <w:p>
            <w:r/>
            <w:r>
              <w:rPr>
                <w:rFonts w:ascii="Georgia" w:hAnsi="Georgia"/>
                <w:color w:val="101718"/>
                <w:sz w:val="18"/>
              </w:rPr>
              <w:t>You cannot post what has not happened yet</w:t>
            </w:r>
          </w:p>
        </w:tc>
      </w:tr>
      <w:tr>
        <w:tc>
          <w:tcPr>
            <w:tcW w:type="dxa" w:w="3118"/>
          </w:tcPr>
          <w:p>
            <w:r/>
            <w:r>
              <w:rPr>
                <w:rFonts w:ascii="Georgia" w:hAnsi="Georgia"/>
                <w:color w:val="101718"/>
                <w:sz w:val="18"/>
              </w:rPr>
              <w:t>Payroll, HR, commissions</w:t>
            </w:r>
          </w:p>
        </w:tc>
        <w:tc>
          <w:tcPr>
            <w:tcW w:type="dxa" w:w="1134"/>
          </w:tcPr>
          <w:p>
            <w:r/>
            <w:r>
              <w:rPr>
                <w:rFonts w:ascii="Georgia" w:hAnsi="Georgia"/>
                <w:color w:val="101718"/>
                <w:sz w:val="18"/>
              </w:rPr>
              <w:t>4</w:t>
            </w:r>
          </w:p>
        </w:tc>
        <w:tc>
          <w:tcPr>
            <w:tcW w:type="dxa" w:w="4819"/>
          </w:tcPr>
          <w:p>
            <w:r/>
            <w:r>
              <w:rPr>
                <w:rFonts w:ascii="Georgia" w:hAnsi="Georgia"/>
                <w:color w:val="101718"/>
                <w:sz w:val="18"/>
              </w:rPr>
              <w:t>Regulatory variance, low differentiation</w:t>
            </w:r>
          </w:p>
        </w:tc>
      </w:tr>
      <w:tr>
        <w:tc>
          <w:tcPr>
            <w:tcW w:type="dxa" w:w="3118"/>
          </w:tcPr>
          <w:p>
            <w:r/>
            <w:r>
              <w:rPr>
                <w:rFonts w:ascii="Georgia" w:hAnsi="Georgia"/>
                <w:color w:val="101718"/>
                <w:sz w:val="18"/>
              </w:rPr>
              <w:t>Multi-location</w:t>
            </w:r>
          </w:p>
        </w:tc>
        <w:tc>
          <w:tcPr>
            <w:tcW w:type="dxa" w:w="1134"/>
          </w:tcPr>
          <w:p>
            <w:r/>
            <w:r>
              <w:rPr>
                <w:rFonts w:ascii="Georgia" w:hAnsi="Georgia"/>
                <w:color w:val="101718"/>
                <w:sz w:val="18"/>
              </w:rPr>
              <w:t>4</w:t>
            </w:r>
          </w:p>
        </w:tc>
        <w:tc>
          <w:tcPr>
            <w:tcW w:type="dxa" w:w="4819"/>
          </w:tcPr>
          <w:p>
            <w:r/>
            <w:r>
              <w:rPr>
                <w:rFonts w:ascii="Georgia" w:hAnsi="Georgia"/>
                <w:color w:val="101718"/>
                <w:sz w:val="18"/>
              </w:rPr>
              <w:t>One location proves the model first</w:t>
            </w:r>
          </w:p>
        </w:tc>
      </w:tr>
      <w:tr>
        <w:tc>
          <w:tcPr>
            <w:tcW w:type="dxa" w:w="3118"/>
          </w:tcPr>
          <w:p>
            <w:r/>
            <w:r>
              <w:rPr>
                <w:rFonts w:ascii="Georgia" w:hAnsi="Georgia"/>
                <w:color w:val="101718"/>
                <w:sz w:val="18"/>
              </w:rPr>
              <w:t>Point of sale, online self-booking</w:t>
            </w:r>
          </w:p>
        </w:tc>
        <w:tc>
          <w:tcPr>
            <w:tcW w:type="dxa" w:w="1134"/>
          </w:tcPr>
          <w:p>
            <w:r/>
            <w:r>
              <w:rPr>
                <w:rFonts w:ascii="Georgia" w:hAnsi="Georgia"/>
                <w:color w:val="101718"/>
                <w:sz w:val="18"/>
              </w:rPr>
              <w:t>5</w:t>
            </w:r>
          </w:p>
        </w:tc>
        <w:tc>
          <w:tcPr>
            <w:tcW w:type="dxa" w:w="4819"/>
          </w:tcPr>
          <w:p>
            <w:r/>
            <w:r>
              <w:rPr>
                <w:rFonts w:ascii="Georgia" w:hAnsi="Georgia"/>
                <w:color w:val="101718"/>
                <w:sz w:val="18"/>
              </w:rPr>
              <w:t>Not the wedge</w:t>
            </w:r>
          </w:p>
        </w:tc>
      </w:tr>
      <w:tr>
        <w:tc>
          <w:tcPr>
            <w:tcW w:type="dxa" w:w="3118"/>
          </w:tcPr>
          <w:p>
            <w:r/>
            <w:r>
              <w:rPr>
                <w:rFonts w:ascii="Georgia" w:hAnsi="Georgia"/>
                <w:color w:val="101718"/>
                <w:sz w:val="18"/>
              </w:rPr>
              <w:t>Native mobile apps</w:t>
            </w:r>
          </w:p>
        </w:tc>
        <w:tc>
          <w:tcPr>
            <w:tcW w:type="dxa" w:w="1134"/>
          </w:tcPr>
          <w:p>
            <w:r/>
            <w:r>
              <w:rPr>
                <w:rFonts w:ascii="Georgia" w:hAnsi="Georgia"/>
                <w:color w:val="101718"/>
                <w:sz w:val="18"/>
              </w:rPr>
              <w:t>5</w:t>
            </w:r>
          </w:p>
        </w:tc>
        <w:tc>
          <w:tcPr>
            <w:tcW w:type="dxa" w:w="4819"/>
          </w:tcPr>
          <w:p>
            <w:r/>
            <w:r>
              <w:rPr>
                <w:rFonts w:ascii="Georgia" w:hAnsi="Georgia"/>
                <w:color w:val="101718"/>
                <w:sz w:val="18"/>
              </w:rPr>
              <w:t>Responsive web is enough to test H2</w:t>
            </w:r>
          </w:p>
        </w:tc>
      </w:tr>
      <w:tr>
        <w:tc>
          <w:tcPr>
            <w:tcW w:type="dxa" w:w="3118"/>
          </w:tcPr>
          <w:p>
            <w:r/>
            <w:r>
              <w:rPr>
                <w:rFonts w:ascii="Georgia" w:hAnsi="Georgia"/>
                <w:color w:val="101718"/>
                <w:sz w:val="18"/>
              </w:rPr>
              <w:t>Forecasting, AI-assisted diagnosis</w:t>
            </w:r>
          </w:p>
        </w:tc>
        <w:tc>
          <w:tcPr>
            <w:tcW w:type="dxa" w:w="1134"/>
          </w:tcPr>
          <w:p>
            <w:r/>
            <w:r>
              <w:rPr>
                <w:rFonts w:ascii="Georgia" w:hAnsi="Georgia"/>
                <w:color w:val="101718"/>
                <w:sz w:val="18"/>
              </w:rPr>
              <w:t>6</w:t>
            </w:r>
          </w:p>
        </w:tc>
        <w:tc>
          <w:tcPr>
            <w:tcW w:type="dxa" w:w="4819"/>
          </w:tcPr>
          <w:p>
            <w:r/>
            <w:r>
              <w:rPr>
                <w:rFonts w:ascii="Georgia" w:hAnsi="Georgia"/>
                <w:color w:val="101718"/>
                <w:sz w:val="18"/>
              </w:rPr>
              <w:t>Requires a year of data that does not yet exist</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THE ONE CONTENTIOUS INCLUSION</w:t>
            </w:r>
          </w:p>
          <w:p>
            <w:r>
              <w:rPr>
                <w:rFonts w:ascii="Georgia" w:hAnsi="Georgia"/>
                <w:color w:val="101718"/>
                <w:sz w:val="19"/>
              </w:rPr>
              <w:t>The passport earns nothing in year one and no customer asks for it. Cutting it would save roughly two weeks. We keep it because coverage cannot be backfilled — work not captured in week one is gone permanently — and because retrofitting an append-only ledger onto mutable operational tables is a rewrite, not a feature.</w:t>
            </w:r>
          </w:p>
        </w:tc>
      </w:tr>
    </w:tbl>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METRIC</w:t>
            </w:r>
          </w:p>
        </w:tc>
        <w:tc>
          <w:tcPr>
            <w:tcW w:type="dxa" w:w="2551"/>
            <w:shd w:val="clear" w:fill="ECEFF0"/>
          </w:tcPr>
          <w:p>
            <w:r/>
            <w:r>
              <w:rPr>
                <w:rFonts w:ascii="Arial" w:hAnsi="Arial"/>
                <w:b/>
                <w:color w:val="0D3B3F"/>
                <w:sz w:val="15"/>
              </w:rPr>
              <w:t>TARGET</w:t>
            </w:r>
          </w:p>
        </w:tc>
        <w:tc>
          <w:tcPr>
            <w:tcW w:type="dxa" w:w="2551"/>
            <w:shd w:val="clear" w:fill="ECEFF0"/>
          </w:tcPr>
          <w:p>
            <w:r/>
            <w:r>
              <w:rPr>
                <w:rFonts w:ascii="Arial" w:hAnsi="Arial"/>
                <w:b/>
                <w:color w:val="0D3B3F"/>
                <w:sz w:val="15"/>
              </w:rPr>
              <w:t>TESTS</w:t>
            </w:r>
          </w:p>
        </w:tc>
      </w:tr>
      <w:tr>
        <w:tc>
          <w:tcPr>
            <w:tcW w:type="dxa" w:w="3969"/>
          </w:tcPr>
          <w:p>
            <w:r/>
            <w:r>
              <w:rPr>
                <w:rFonts w:ascii="Georgia" w:hAnsi="Georgia"/>
                <w:color w:val="101718"/>
                <w:sz w:val="18"/>
              </w:rPr>
              <w:t>Inspection completion rate</w:t>
            </w:r>
          </w:p>
        </w:tc>
        <w:tc>
          <w:tcPr>
            <w:tcW w:type="dxa" w:w="2551"/>
          </w:tcPr>
          <w:p>
            <w:r/>
            <w:r>
              <w:rPr>
                <w:rFonts w:ascii="Georgia" w:hAnsi="Georgia"/>
                <w:color w:val="101718"/>
                <w:sz w:val="18"/>
              </w:rPr>
              <w:t>&gt; 60%</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Median inspection duration</w:t>
            </w:r>
          </w:p>
        </w:tc>
        <w:tc>
          <w:tcPr>
            <w:tcW w:type="dxa" w:w="2551"/>
          </w:tcPr>
          <w:p>
            <w:r/>
            <w:r>
              <w:rPr>
                <w:rFonts w:ascii="Georgia" w:hAnsi="Georgia"/>
                <w:color w:val="101718"/>
                <w:sz w:val="18"/>
              </w:rPr>
              <w:t>&lt; 4 minutes</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Estimates approved by link</w:t>
            </w:r>
          </w:p>
        </w:tc>
        <w:tc>
          <w:tcPr>
            <w:tcW w:type="dxa" w:w="2551"/>
          </w:tcPr>
          <w:p>
            <w:r/>
            <w:r>
              <w:rPr>
                <w:rFonts w:ascii="Georgia" w:hAnsi="Georgia"/>
                <w:color w:val="101718"/>
                <w:sz w:val="18"/>
              </w:rPr>
              <w:t>&gt; 40%</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Median send-to-decision time</w:t>
            </w:r>
          </w:p>
        </w:tc>
        <w:tc>
          <w:tcPr>
            <w:tcW w:type="dxa" w:w="2551"/>
          </w:tcPr>
          <w:p>
            <w:r/>
            <w:r>
              <w:rPr>
                <w:rFonts w:ascii="Georgia" w:hAnsi="Georgia"/>
                <w:color w:val="101718"/>
                <w:sz w:val="18"/>
              </w:rPr>
              <w:t>&lt; 4 hours</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Jobs per workshop per day</w:t>
            </w:r>
          </w:p>
        </w:tc>
        <w:tc>
          <w:tcPr>
            <w:tcW w:type="dxa" w:w="2551"/>
          </w:tcPr>
          <w:p>
            <w:r/>
            <w:r>
              <w:rPr>
                <w:rFonts w:ascii="Georgia" w:hAnsi="Georgia"/>
                <w:color w:val="101718"/>
                <w:sz w:val="18"/>
              </w:rPr>
              <w:t>&gt; 8</w:t>
            </w:r>
          </w:p>
        </w:tc>
        <w:tc>
          <w:tcPr>
            <w:tcW w:type="dxa" w:w="2551"/>
          </w:tcPr>
          <w:p>
            <w:r/>
            <w:r>
              <w:rPr>
                <w:rFonts w:ascii="Georgia" w:hAnsi="Georgia"/>
                <w:color w:val="101718"/>
                <w:sz w:val="18"/>
              </w:rPr>
              <w:t>H1</w:t>
            </w:r>
          </w:p>
        </w:tc>
      </w:tr>
      <w:tr>
        <w:tc>
          <w:tcPr>
            <w:tcW w:type="dxa" w:w="3969"/>
          </w:tcPr>
          <w:p>
            <w:r/>
            <w:r>
              <w:rPr>
                <w:rFonts w:ascii="Georgia" w:hAnsi="Georgia"/>
                <w:color w:val="101718"/>
                <w:sz w:val="18"/>
              </w:rPr>
              <w:t>Passport events per completed job</w:t>
            </w:r>
          </w:p>
        </w:tc>
        <w:tc>
          <w:tcPr>
            <w:tcW w:type="dxa" w:w="2551"/>
          </w:tcPr>
          <w:p>
            <w:r/>
            <w:r>
              <w:rPr>
                <w:rFonts w:ascii="Georgia" w:hAnsi="Georgia"/>
                <w:color w:val="101718"/>
                <w:sz w:val="18"/>
              </w:rPr>
              <w:t>&gt; 3</w:t>
            </w:r>
          </w:p>
        </w:tc>
        <w:tc>
          <w:tcPr>
            <w:tcW w:type="dxa" w:w="2551"/>
          </w:tcPr>
          <w:p>
            <w:r/>
            <w:r>
              <w:rPr>
                <w:rFonts w:ascii="Georgia" w:hAnsi="Georgia"/>
                <w:color w:val="101718"/>
                <w:sz w:val="18"/>
              </w:rPr>
              <w:t>Coverage</w:t>
            </w:r>
          </w:p>
        </w:tc>
      </w:tr>
      <w:tr>
        <w:tc>
          <w:tcPr>
            <w:tcW w:type="dxa" w:w="3969"/>
          </w:tcPr>
          <w:p>
            <w:r/>
            <w:r>
              <w:rPr>
                <w:rFonts w:ascii="Georgia" w:hAnsi="Georgia"/>
                <w:color w:val="101718"/>
                <w:sz w:val="18"/>
              </w:rPr>
              <w:t>Arrival to estimate sent</w:t>
            </w:r>
          </w:p>
        </w:tc>
        <w:tc>
          <w:tcPr>
            <w:tcW w:type="dxa" w:w="2551"/>
          </w:tcPr>
          <w:p>
            <w:r/>
            <w:r>
              <w:rPr>
                <w:rFonts w:ascii="Georgia" w:hAnsi="Georgia"/>
                <w:color w:val="101718"/>
                <w:sz w:val="18"/>
              </w:rPr>
              <w:t>&lt; 90 minutes</w:t>
            </w:r>
          </w:p>
        </w:tc>
        <w:tc>
          <w:tcPr>
            <w:tcW w:type="dxa" w:w="2551"/>
          </w:tcPr>
          <w:p>
            <w:r/>
            <w:r>
              <w:rPr>
                <w:rFonts w:ascii="Georgia" w:hAnsi="Georgia"/>
                <w:color w:val="101718"/>
                <w:sz w:val="18"/>
              </w:rPr>
              <w:t>Flow</w:t>
            </w:r>
          </w:p>
        </w:tc>
      </w:tr>
    </w:tbl>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268"/>
            <w:shd w:val="clear" w:fill="ECEFF0"/>
          </w:tcPr>
          <w:p>
            <w:r/>
            <w:r>
              <w:rPr>
                <w:rFonts w:ascii="Arial" w:hAnsi="Arial"/>
                <w:b/>
                <w:color w:val="0D3B3F"/>
                <w:sz w:val="15"/>
              </w:rPr>
              <w:t>PHASE</w:t>
            </w:r>
          </w:p>
        </w:tc>
        <w:tc>
          <w:tcPr>
            <w:tcW w:type="dxa" w:w="3969"/>
            <w:shd w:val="clear" w:fill="ECEFF0"/>
          </w:tcPr>
          <w:p>
            <w:r/>
            <w:r>
              <w:rPr>
                <w:rFonts w:ascii="Arial" w:hAnsi="Arial"/>
                <w:b/>
                <w:color w:val="0D3B3F"/>
                <w:sz w:val="15"/>
              </w:rPr>
              <w:t>SCOPE</w:t>
            </w:r>
          </w:p>
        </w:tc>
        <w:tc>
          <w:tcPr>
            <w:tcW w:type="dxa" w:w="1020"/>
            <w:shd w:val="clear" w:fill="ECEFF0"/>
          </w:tcPr>
          <w:p>
            <w:r/>
            <w:r>
              <w:rPr>
                <w:rFonts w:ascii="Arial" w:hAnsi="Arial"/>
                <w:b/>
                <w:color w:val="0D3B3F"/>
                <w:sz w:val="15"/>
              </w:rPr>
              <w:t>WEEKS</w:t>
            </w:r>
          </w:p>
        </w:tc>
        <w:tc>
          <w:tcPr>
            <w:tcW w:type="dxa" w:w="1814"/>
            <w:shd w:val="clear" w:fill="ECEFF0"/>
          </w:tcPr>
          <w:p>
            <w:r/>
            <w:r>
              <w:rPr>
                <w:rFonts w:ascii="Arial" w:hAnsi="Arial"/>
                <w:b/>
                <w:color w:val="0D3B3F"/>
                <w:sz w:val="15"/>
              </w:rPr>
              <w:t>ESTIMATE</w:t>
            </w:r>
          </w:p>
        </w:tc>
      </w:tr>
      <w:tr>
        <w:tc>
          <w:tcPr>
            <w:tcW w:type="dxa" w:w="2268"/>
          </w:tcPr>
          <w:p>
            <w:r/>
            <w:r>
              <w:rPr>
                <w:rFonts w:ascii="Georgia" w:hAnsi="Georgia"/>
                <w:color w:val="101718"/>
                <w:sz w:val="18"/>
              </w:rPr>
              <w:t>1  Workshop Core</w:t>
            </w:r>
          </w:p>
        </w:tc>
        <w:tc>
          <w:tcPr>
            <w:tcW w:type="dxa" w:w="3969"/>
          </w:tcPr>
          <w:p>
            <w:r/>
            <w:r>
              <w:rPr>
                <w:rFonts w:ascii="Georgia" w:hAnsi="Georgia"/>
                <w:color w:val="101718"/>
                <w:sz w:val="18"/>
              </w:rPr>
              <w:t>Tenancy, customers, vehicles, passport ledger, diary, jobs, inspections, estimates, approval, invoicing, technician interface, portal, dashboard</w:t>
            </w:r>
          </w:p>
        </w:tc>
        <w:tc>
          <w:tcPr>
            <w:tcW w:type="dxa" w:w="1020"/>
          </w:tcPr>
          <w:p>
            <w:r/>
            <w:r>
              <w:rPr>
                <w:rFonts w:ascii="Georgia" w:hAnsi="Georgia"/>
                <w:color w:val="101718"/>
                <w:sz w:val="18"/>
              </w:rPr>
              <w:t>10</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2  Inventory and Procurement</w:t>
            </w:r>
          </w:p>
        </w:tc>
        <w:tc>
          <w:tcPr>
            <w:tcW w:type="dxa" w:w="3969"/>
          </w:tcPr>
          <w:p>
            <w:r/>
            <w:r>
              <w:rPr>
                <w:rFonts w:ascii="Georgia" w:hAnsi="Georgia"/>
                <w:color w:val="101718"/>
                <w:sz w:val="18"/>
              </w:rPr>
              <w:t>Parts, warehouses, stock movements, reservation against jobs, reorder detection, purchase requests and approval, orders, receiving, supplier bills</w:t>
            </w:r>
          </w:p>
        </w:tc>
        <w:tc>
          <w:tcPr>
            <w:tcW w:type="dxa" w:w="1020"/>
          </w:tcPr>
          <w:p>
            <w:r/>
            <w:r>
              <w:rPr>
                <w:rFonts w:ascii="Georgia" w:hAnsi="Georgia"/>
                <w:color w:val="101718"/>
                <w:sz w:val="18"/>
              </w:rPr>
              <w:t>8</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3  Finance and ERP</w:t>
            </w:r>
          </w:p>
        </w:tc>
        <w:tc>
          <w:tcPr>
            <w:tcW w:type="dxa" w:w="3969"/>
          </w:tcPr>
          <w:p>
            <w:r/>
            <w:r>
              <w:rPr>
                <w:rFonts w:ascii="Georgia" w:hAnsi="Georgia"/>
                <w:color w:val="101718"/>
                <w:sz w:val="18"/>
              </w:rPr>
              <w:t>Chart of accounts, general ledger, automatic posting, receivables and payables, expenses, tax, periods, financial statements, profitability</w:t>
            </w:r>
          </w:p>
        </w:tc>
        <w:tc>
          <w:tcPr>
            <w:tcW w:type="dxa" w:w="1020"/>
          </w:tcPr>
          <w:p>
            <w:r/>
            <w:r>
              <w:rPr>
                <w:rFonts w:ascii="Georgia" w:hAnsi="Georgia"/>
                <w:color w:val="101718"/>
                <w:sz w:val="18"/>
              </w:rPr>
              <w:t>10</w:t>
            </w:r>
          </w:p>
        </w:tc>
        <w:tc>
          <w:tcPr>
            <w:tcW w:type="dxa" w:w="1814"/>
          </w:tcPr>
          <w:p>
            <w:r/>
            <w:r>
              <w:rPr>
                <w:rFonts w:ascii="Georgia" w:hAnsi="Georgia"/>
                <w:color w:val="101718"/>
                <w:sz w:val="18"/>
              </w:rPr>
              <w:t>GBP 115,500</w:t>
            </w:r>
          </w:p>
        </w:tc>
      </w:tr>
      <w:tr>
        <w:tc>
          <w:tcPr>
            <w:tcW w:type="dxa" w:w="2268"/>
            <w:shd w:val="clear" w:fill="E2ECEC"/>
          </w:tcPr>
          <w:p>
            <w:r/>
            <w:r>
              <w:rPr>
                <w:rFonts w:ascii="Georgia" w:hAnsi="Georgia"/>
                <w:b/>
                <w:color w:val="101718"/>
                <w:sz w:val="18"/>
              </w:rPr>
              <w:t>Build subtotal</w:t>
            </w:r>
          </w:p>
        </w:tc>
        <w:tc>
          <w:tcPr>
            <w:tcW w:type="dxa" w:w="3969"/>
            <w:shd w:val="clear" w:fill="E2ECEC"/>
          </w:tcPr>
          <w:p>
            <w:r/>
            <w:r>
              <w:rPr>
                <w:rFonts w:ascii="Georgia" w:hAnsi="Georgia"/>
                <w:b w:val="0"/>
                <w:color w:val="101718"/>
                <w:sz w:val="18"/>
              </w:rPr>
              <w:t>110 person-weeks</w:t>
            </w:r>
          </w:p>
        </w:tc>
        <w:tc>
          <w:tcPr>
            <w:tcW w:type="dxa" w:w="1020"/>
            <w:shd w:val="clear" w:fill="E2ECEC"/>
          </w:tcPr>
          <w:p>
            <w:r/>
            <w:r>
              <w:rPr>
                <w:rFonts w:ascii="Georgia" w:hAnsi="Georgia"/>
                <w:b w:val="0"/>
                <w:color w:val="101718"/>
                <w:sz w:val="18"/>
              </w:rPr>
              <w:t>28</w:t>
            </w:r>
          </w:p>
        </w:tc>
        <w:tc>
          <w:tcPr>
            <w:tcW w:type="dxa" w:w="1814"/>
            <w:shd w:val="clear" w:fill="E2ECEC"/>
          </w:tcPr>
          <w:p>
            <w:r/>
            <w:r>
              <w:rPr>
                <w:rFonts w:ascii="Georgia" w:hAnsi="Georgia"/>
                <w:b w:val="0"/>
                <w:color w:val="101718"/>
                <w:sz w:val="18"/>
              </w:rPr>
              <w:t>GBP 302,500</w:t>
            </w:r>
          </w:p>
        </w:tc>
      </w:tr>
      <w:tr>
        <w:tc>
          <w:tcPr>
            <w:tcW w:type="dxa" w:w="2268"/>
            <w:shd w:val="clear" w:fill="E2ECEC"/>
          </w:tcPr>
          <w:p>
            <w:r/>
            <w:r>
              <w:rPr>
                <w:rFonts w:ascii="Georgia" w:hAnsi="Georgia"/>
                <w:b/>
                <w:color w:val="101718"/>
                <w:sz w:val="18"/>
              </w:rPr>
              <w:t>Contingency at 15%</w:t>
            </w:r>
          </w:p>
        </w:tc>
        <w:tc>
          <w:tcPr>
            <w:tcW w:type="dxa" w:w="3969"/>
            <w:shd w:val="clear" w:fill="E2ECEC"/>
          </w:tcPr>
          <w:p>
            <w:r/>
            <w:r>
              <w:rPr>
                <w:rFonts w:ascii="Georgia" w:hAnsi="Georgia"/>
                <w:b w:val="0"/>
                <w:color w:val="101718"/>
                <w:sz w:val="18"/>
              </w:rPr>
              <w:t>Held, released on evidence</w:t>
            </w:r>
          </w:p>
        </w:tc>
        <w:tc>
          <w:tcPr>
            <w:tcW w:type="dxa" w:w="1020"/>
            <w:shd w:val="clear" w:fill="E2ECEC"/>
          </w:tcPr>
          <w:p>
            <w:r/>
            <w:r>
              <w:rPr>
                <w:rFonts w:ascii="Georgia" w:hAnsi="Georgia"/>
                <w:b w:val="0"/>
                <w:color w:val="101718"/>
                <w:sz w:val="18"/>
              </w:rPr>
              <w:t>—</w:t>
            </w:r>
          </w:p>
        </w:tc>
        <w:tc>
          <w:tcPr>
            <w:tcW w:type="dxa" w:w="1814"/>
            <w:shd w:val="clear" w:fill="E2ECEC"/>
          </w:tcPr>
          <w:p>
            <w:r/>
            <w:r>
              <w:rPr>
                <w:rFonts w:ascii="Georgia" w:hAnsi="Georgia"/>
                <w:b w:val="0"/>
                <w:color w:val="101718"/>
                <w:sz w:val="18"/>
              </w:rPr>
              <w:t>GBP 45,375</w:t>
            </w:r>
          </w:p>
        </w:tc>
      </w:tr>
    </w:tbl>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551"/>
            <w:shd w:val="clear" w:fill="ECEFF0"/>
          </w:tcPr>
          <w:p>
            <w:r/>
            <w:r>
              <w:rPr>
                <w:rFonts w:ascii="Arial" w:hAnsi="Arial"/>
                <w:b/>
                <w:color w:val="0D3B3F"/>
                <w:sz w:val="15"/>
              </w:rPr>
              <w:t>ROLE</w:t>
            </w:r>
          </w:p>
        </w:tc>
        <w:tc>
          <w:tcPr>
            <w:tcW w:type="dxa" w:w="850"/>
            <w:shd w:val="clear" w:fill="ECEFF0"/>
          </w:tcPr>
          <w:p>
            <w:r/>
            <w:r>
              <w:rPr>
                <w:rFonts w:ascii="Arial" w:hAnsi="Arial"/>
                <w:b/>
                <w:color w:val="0D3B3F"/>
                <w:sz w:val="15"/>
              </w:rPr>
              <w:t>FTE</w:t>
            </w:r>
          </w:p>
        </w:tc>
        <w:tc>
          <w:tcPr>
            <w:tcW w:type="dxa" w:w="1020"/>
            <w:shd w:val="clear" w:fill="ECEFF0"/>
          </w:tcPr>
          <w:p>
            <w:r/>
            <w:r>
              <w:rPr>
                <w:rFonts w:ascii="Arial" w:hAnsi="Arial"/>
                <w:b/>
                <w:color w:val="0D3B3F"/>
                <w:sz w:val="15"/>
              </w:rPr>
              <w:t>WEEKS</w:t>
            </w:r>
          </w:p>
        </w:tc>
        <w:tc>
          <w:tcPr>
            <w:tcW w:type="dxa" w:w="4649"/>
            <w:shd w:val="clear" w:fill="ECEFF0"/>
          </w:tcPr>
          <w:p>
            <w:r/>
            <w:r>
              <w:rPr>
                <w:rFonts w:ascii="Arial" w:hAnsi="Arial"/>
                <w:b/>
                <w:color w:val="0D3B3F"/>
                <w:sz w:val="15"/>
              </w:rPr>
              <w:t>RESPONSIBILITY</w:t>
            </w:r>
          </w:p>
        </w:tc>
      </w:tr>
      <w:tr>
        <w:tc>
          <w:tcPr>
            <w:tcW w:type="dxa" w:w="2551"/>
          </w:tcPr>
          <w:p>
            <w:r/>
            <w:r>
              <w:rPr>
                <w:rFonts w:ascii="Georgia" w:hAnsi="Georgia"/>
                <w:color w:val="101718"/>
                <w:sz w:val="18"/>
              </w:rPr>
              <w:t>Tech lead / architect</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Domain model, architecture, review, the hard parts</w:t>
            </w:r>
          </w:p>
        </w:tc>
      </w:tr>
      <w:tr>
        <w:tc>
          <w:tcPr>
            <w:tcW w:type="dxa" w:w="2551"/>
          </w:tcPr>
          <w:p>
            <w:r/>
            <w:r>
              <w:rPr>
                <w:rFonts w:ascii="Georgia" w:hAnsi="Georgia"/>
                <w:color w:val="101718"/>
                <w:sz w:val="18"/>
              </w:rPr>
              <w:t>Senior 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Feature delivery across the stack</w:t>
            </w:r>
          </w:p>
        </w:tc>
      </w:tr>
      <w:tr>
        <w:tc>
          <w:tcPr>
            <w:tcW w:type="dxa" w:w="2551"/>
          </w:tcPr>
          <w:p>
            <w:r/>
            <w:r>
              <w:rPr>
                <w:rFonts w:ascii="Georgia" w:hAnsi="Georgia"/>
                <w:color w:val="101718"/>
                <w:sz w:val="18"/>
              </w:rPr>
              <w:t>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24</w:t>
            </w:r>
          </w:p>
        </w:tc>
        <w:tc>
          <w:tcPr>
            <w:tcW w:type="dxa" w:w="4649"/>
          </w:tcPr>
          <w:p>
            <w:r/>
            <w:r>
              <w:rPr>
                <w:rFonts w:ascii="Georgia" w:hAnsi="Georgia"/>
                <w:color w:val="101718"/>
                <w:sz w:val="18"/>
              </w:rPr>
              <w:t>Feature delivery, from week 5</w:t>
            </w:r>
          </w:p>
        </w:tc>
      </w:tr>
      <w:tr>
        <w:tc>
          <w:tcPr>
            <w:tcW w:type="dxa" w:w="2551"/>
          </w:tcPr>
          <w:p>
            <w:r/>
            <w:r>
              <w:rPr>
                <w:rFonts w:ascii="Georgia" w:hAnsi="Georgia"/>
                <w:color w:val="101718"/>
                <w:sz w:val="18"/>
              </w:rPr>
              <w:t>Product designer</w:t>
            </w:r>
          </w:p>
        </w:tc>
        <w:tc>
          <w:tcPr>
            <w:tcW w:type="dxa" w:w="850"/>
          </w:tcPr>
          <w:p>
            <w:r/>
            <w:r>
              <w:rPr>
                <w:rFonts w:ascii="Georgia" w:hAnsi="Georgia"/>
                <w:color w:val="101718"/>
                <w:sz w:val="18"/>
              </w:rPr>
              <w:t>0.5</w:t>
            </w:r>
          </w:p>
        </w:tc>
        <w:tc>
          <w:tcPr>
            <w:tcW w:type="dxa" w:w="1020"/>
          </w:tcPr>
          <w:p>
            <w:r/>
            <w:r>
              <w:rPr>
                <w:rFonts w:ascii="Georgia" w:hAnsi="Georgia"/>
                <w:color w:val="101718"/>
                <w:sz w:val="18"/>
              </w:rPr>
              <w:t>20</w:t>
            </w:r>
          </w:p>
        </w:tc>
        <w:tc>
          <w:tcPr>
            <w:tcW w:type="dxa" w:w="4649"/>
          </w:tcPr>
          <w:p>
            <w:r/>
            <w:r>
              <w:rPr>
                <w:rFonts w:ascii="Georgia" w:hAnsi="Georgia"/>
                <w:color w:val="101718"/>
                <w:sz w:val="18"/>
              </w:rPr>
              <w:t>Design system, screen design, usability testing</w:t>
            </w:r>
          </w:p>
        </w:tc>
      </w:tr>
      <w:tr>
        <w:tc>
          <w:tcPr>
            <w:tcW w:type="dxa" w:w="2551"/>
          </w:tcPr>
          <w:p>
            <w:r/>
            <w:r>
              <w:rPr>
                <w:rFonts w:ascii="Georgia" w:hAnsi="Georgia"/>
                <w:color w:val="101718"/>
                <w:sz w:val="18"/>
              </w:rPr>
              <w:t>QA engineer</w:t>
            </w:r>
          </w:p>
        </w:tc>
        <w:tc>
          <w:tcPr>
            <w:tcW w:type="dxa" w:w="850"/>
          </w:tcPr>
          <w:p>
            <w:r/>
            <w:r>
              <w:rPr>
                <w:rFonts w:ascii="Georgia" w:hAnsi="Georgia"/>
                <w:color w:val="101718"/>
                <w:sz w:val="18"/>
              </w:rPr>
              <w:t>0.5</w:t>
            </w:r>
          </w:p>
        </w:tc>
        <w:tc>
          <w:tcPr>
            <w:tcW w:type="dxa" w:w="1020"/>
          </w:tcPr>
          <w:p>
            <w:r/>
            <w:r>
              <w:rPr>
                <w:rFonts w:ascii="Georgia" w:hAnsi="Georgia"/>
                <w:color w:val="101718"/>
                <w:sz w:val="18"/>
              </w:rPr>
              <w:t>22</w:t>
            </w:r>
          </w:p>
        </w:tc>
        <w:tc>
          <w:tcPr>
            <w:tcW w:type="dxa" w:w="4649"/>
          </w:tcPr>
          <w:p>
            <w:r/>
            <w:r>
              <w:rPr>
                <w:rFonts w:ascii="Georgia" w:hAnsi="Georgia"/>
                <w:color w:val="101718"/>
                <w:sz w:val="18"/>
              </w:rPr>
              <w:t>Test strategy, automation, exploratory testing</w:t>
            </w:r>
          </w:p>
        </w:tc>
      </w:tr>
      <w:tr>
        <w:tc>
          <w:tcPr>
            <w:tcW w:type="dxa" w:w="2551"/>
          </w:tcPr>
          <w:p>
            <w:r/>
            <w:r>
              <w:rPr>
                <w:rFonts w:ascii="Georgia" w:hAnsi="Georgia"/>
                <w:color w:val="101718"/>
                <w:sz w:val="18"/>
              </w:rPr>
              <w:t>Product owner</w:t>
            </w:r>
          </w:p>
        </w:tc>
        <w:tc>
          <w:tcPr>
            <w:tcW w:type="dxa" w:w="850"/>
          </w:tcPr>
          <w:p>
            <w:r/>
            <w:r>
              <w:rPr>
                <w:rFonts w:ascii="Georgia" w:hAnsi="Georgia"/>
                <w:color w:val="101718"/>
                <w:sz w:val="18"/>
              </w:rPr>
              <w:t>0.2</w:t>
            </w:r>
          </w:p>
        </w:tc>
        <w:tc>
          <w:tcPr>
            <w:tcW w:type="dxa" w:w="1020"/>
          </w:tcPr>
          <w:p>
            <w:r/>
            <w:r>
              <w:rPr>
                <w:rFonts w:ascii="Georgia" w:hAnsi="Georgia"/>
                <w:color w:val="101718"/>
                <w:sz w:val="18"/>
              </w:rPr>
              <w:t>28</w:t>
            </w:r>
          </w:p>
        </w:tc>
        <w:tc>
          <w:tcPr>
            <w:tcW w:type="dxa" w:w="4649"/>
          </w:tcPr>
          <w:p>
            <w:r/>
            <w:r>
              <w:rPr>
                <w:rFonts w:ascii="Georgia" w:hAnsi="Georgia"/>
                <w:color w:val="101718"/>
                <w:sz w:val="18"/>
              </w:rPr>
              <w:t>Prioritisation, acceptance, design partners</w:t>
            </w:r>
          </w:p>
        </w:tc>
      </w:tr>
    </w:tbl>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tbl>
      <w:tblPr>
        <w:tblStyle w:val="TableGrid"/>
        <w:tblW w:type="auto" w:w="0"/>
        <w:jc w:val="left"/>
        <w:tblLayout w:type="autofit"/>
        <w:tblLook w:firstColumn="1" w:firstRow="1" w:lastColumn="0" w:lastRow="0" w:noHBand="0" w:noVBand="1" w:val="04A0"/>
      </w:tblPr>
      <w:tblGrid>
        <w:gridCol w:w="4759"/>
        <w:gridCol w:w="4759"/>
      </w:tblGrid>
      <w:tr>
        <w:tc>
          <w:tcPr>
            <w:tcW w:type="dxa" w:w="1134"/>
            <w:shd w:val="clear" w:fill="ECEFF0"/>
          </w:tcPr>
          <w:p>
            <w:r/>
            <w:r>
              <w:rPr>
                <w:rFonts w:ascii="Arial" w:hAnsi="Arial"/>
                <w:b/>
                <w:color w:val="0D3B3F"/>
                <w:sz w:val="15"/>
              </w:rPr>
              <w:t>WEEK</w:t>
            </w:r>
          </w:p>
        </w:tc>
        <w:tc>
          <w:tcPr>
            <w:tcW w:type="dxa" w:w="7937"/>
            <w:shd w:val="clear" w:fill="ECEFF0"/>
          </w:tcPr>
          <w:p>
            <w:r/>
            <w:r>
              <w:rPr>
                <w:rFonts w:ascii="Arial" w:hAnsi="Arial"/>
                <w:b/>
                <w:color w:val="0D3B3F"/>
                <w:sz w:val="15"/>
              </w:rPr>
              <w:t>MILESTONE</w:t>
            </w:r>
          </w:p>
        </w:tc>
      </w:tr>
      <w:tr>
        <w:tc>
          <w:tcPr>
            <w:tcW w:type="dxa" w:w="1134"/>
          </w:tcPr>
          <w:p>
            <w:r/>
            <w:r>
              <w:rPr>
                <w:rFonts w:ascii="Georgia" w:hAnsi="Georgia"/>
                <w:color w:val="101718"/>
                <w:sz w:val="18"/>
              </w:rPr>
              <w:t>2</w:t>
            </w:r>
          </w:p>
        </w:tc>
        <w:tc>
          <w:tcPr>
            <w:tcW w:type="dxa" w:w="7937"/>
          </w:tcPr>
          <w:p>
            <w:r/>
            <w:r>
              <w:rPr>
                <w:rFonts w:ascii="Georgia" w:hAnsi="Georgia"/>
                <w:color w:val="101718"/>
                <w:sz w:val="18"/>
              </w:rPr>
              <w:t>Design system approved; domain model reviewed with design partners</w:t>
            </w:r>
          </w:p>
        </w:tc>
      </w:tr>
      <w:tr>
        <w:tc>
          <w:tcPr>
            <w:tcW w:type="dxa" w:w="1134"/>
          </w:tcPr>
          <w:p>
            <w:r/>
            <w:r>
              <w:rPr>
                <w:rFonts w:ascii="Georgia" w:hAnsi="Georgia"/>
                <w:color w:val="101718"/>
                <w:sz w:val="18"/>
              </w:rPr>
              <w:t>4</w:t>
            </w:r>
          </w:p>
        </w:tc>
        <w:tc>
          <w:tcPr>
            <w:tcW w:type="dxa" w:w="7937"/>
          </w:tcPr>
          <w:p>
            <w:r/>
            <w:r>
              <w:rPr>
                <w:rFonts w:ascii="Georgia" w:hAnsi="Georgia"/>
                <w:color w:val="101718"/>
                <w:sz w:val="18"/>
              </w:rPr>
              <w:t>Architecture and data model signed off; walking skeleton deployed</w:t>
            </w:r>
          </w:p>
        </w:tc>
      </w:tr>
      <w:tr>
        <w:tc>
          <w:tcPr>
            <w:tcW w:type="dxa" w:w="1134"/>
            <w:shd w:val="clear" w:fill="E2ECEC"/>
          </w:tcPr>
          <w:p>
            <w:r/>
            <w:r>
              <w:rPr>
                <w:rFonts w:ascii="Georgia" w:hAnsi="Georgia"/>
                <w:b/>
                <w:color w:val="101718"/>
                <w:sz w:val="18"/>
              </w:rPr>
              <w:t>10</w:t>
            </w:r>
          </w:p>
        </w:tc>
        <w:tc>
          <w:tcPr>
            <w:tcW w:type="dxa" w:w="7937"/>
            <w:shd w:val="clear" w:fill="E2ECEC"/>
          </w:tcPr>
          <w:p>
            <w:r/>
            <w:r>
              <w:rPr>
                <w:rFonts w:ascii="Georgia" w:hAnsi="Georgia"/>
                <w:b w:val="0"/>
                <w:color w:val="101718"/>
                <w:sz w:val="18"/>
              </w:rPr>
              <w:t>Phase 1 accepted — MVP live with design partners</w:t>
            </w:r>
          </w:p>
        </w:tc>
      </w:tr>
      <w:tr>
        <w:tc>
          <w:tcPr>
            <w:tcW w:type="dxa" w:w="1134"/>
          </w:tcPr>
          <w:p>
            <w:r/>
            <w:r>
              <w:rPr>
                <w:rFonts w:ascii="Georgia" w:hAnsi="Georgia"/>
                <w:color w:val="101718"/>
                <w:sz w:val="18"/>
              </w:rPr>
              <w:t>18</w:t>
            </w:r>
          </w:p>
        </w:tc>
        <w:tc>
          <w:tcPr>
            <w:tcW w:type="dxa" w:w="7937"/>
          </w:tcPr>
          <w:p>
            <w:r/>
            <w:r>
              <w:rPr>
                <w:rFonts w:ascii="Georgia" w:hAnsi="Georgia"/>
                <w:color w:val="101718"/>
                <w:sz w:val="18"/>
              </w:rPr>
              <w:t>Phase 2 accepted</w:t>
            </w:r>
          </w:p>
        </w:tc>
      </w:tr>
      <w:tr>
        <w:tc>
          <w:tcPr>
            <w:tcW w:type="dxa" w:w="1134"/>
            <w:shd w:val="clear" w:fill="E2ECEC"/>
          </w:tcPr>
          <w:p>
            <w:r/>
            <w:r>
              <w:rPr>
                <w:rFonts w:ascii="Georgia" w:hAnsi="Georgia"/>
                <w:b/>
                <w:color w:val="101718"/>
                <w:sz w:val="18"/>
              </w:rPr>
              <w:t>20</w:t>
            </w:r>
          </w:p>
        </w:tc>
        <w:tc>
          <w:tcPr>
            <w:tcW w:type="dxa" w:w="7937"/>
            <w:shd w:val="clear" w:fill="E2ECEC"/>
          </w:tcPr>
          <w:p>
            <w:r/>
            <w:r>
              <w:rPr>
                <w:rFonts w:ascii="Georgia" w:hAnsi="Georgia"/>
                <w:b w:val="0"/>
                <w:color w:val="101718"/>
                <w:sz w:val="18"/>
              </w:rPr>
              <w:t>First paying customer; pricing validated</w:t>
            </w:r>
          </w:p>
        </w:tc>
      </w:tr>
      <w:tr>
        <w:tc>
          <w:tcPr>
            <w:tcW w:type="dxa" w:w="1134"/>
            <w:shd w:val="clear" w:fill="E2ECEC"/>
          </w:tcPr>
          <w:p>
            <w:r/>
            <w:r>
              <w:rPr>
                <w:rFonts w:ascii="Georgia" w:hAnsi="Georgia"/>
                <w:b/>
                <w:color w:val="101718"/>
                <w:sz w:val="18"/>
              </w:rPr>
              <w:t>28</w:t>
            </w:r>
          </w:p>
        </w:tc>
        <w:tc>
          <w:tcPr>
            <w:tcW w:type="dxa" w:w="7937"/>
            <w:shd w:val="clear" w:fill="E2ECEC"/>
          </w:tcPr>
          <w:p>
            <w:r/>
            <w:r>
              <w:rPr>
                <w:rFonts w:ascii="Georgia" w:hAnsi="Georgia"/>
                <w:b w:val="0"/>
                <w:color w:val="101718"/>
                <w:sz w:val="18"/>
              </w:rPr>
              <w:t>Phase 3 accepted — commercially complete platform</w:t>
            </w:r>
          </w:p>
        </w:tc>
      </w:tr>
    </w:tbl>
    <w:p>
      <w:pPr>
        <w:spacing w:after="80"/>
      </w:pPr>
    </w:p>
    <w:p>
      <w:pPr>
        <w:pStyle w:val="Heading3"/>
      </w:pPr>
      <w:r>
        <w:t>Payment schedule</w:t>
      </w:r>
    </w:p>
    <w:p>
      <w:pPr>
        <w:keepNext/>
        <w:spacing w:after="60"/>
      </w:pPr>
      <w:r>
        <w:rPr>
          <w:rFonts w:ascii="Arial" w:hAnsi="Arial"/>
          <w:b/>
          <w:i w:val="0"/>
          <w:color w:val="6B7878"/>
          <w:sz w:val="15"/>
        </w:rPr>
        <w:t>PAYMENT AGAINST MILESTONES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MILESTONE</w:t>
            </w:r>
          </w:p>
        </w:tc>
        <w:tc>
          <w:tcPr>
            <w:tcW w:type="dxa" w:w="5102"/>
            <w:shd w:val="clear" w:fill="ECEFF0"/>
          </w:tcPr>
          <w:p>
            <w:r/>
            <w:r>
              <w:rPr>
                <w:rFonts w:ascii="Arial" w:hAnsi="Arial"/>
                <w:b/>
                <w:color w:val="0D3B3F"/>
                <w:sz w:val="15"/>
              </w:rPr>
              <w:t>TRIGGER</w:t>
            </w:r>
          </w:p>
        </w:tc>
        <w:tc>
          <w:tcPr>
            <w:tcW w:type="dxa" w:w="1417"/>
            <w:shd w:val="clear" w:fill="ECEFF0"/>
          </w:tcPr>
          <w:p>
            <w:r/>
            <w:r>
              <w:rPr>
                <w:rFonts w:ascii="Arial" w:hAnsi="Arial"/>
                <w:b/>
                <w:color w:val="0D3B3F"/>
                <w:sz w:val="15"/>
              </w:rPr>
              <w:t>SHARE</w:t>
            </w:r>
          </w:p>
        </w:tc>
      </w:tr>
      <w:tr>
        <w:tc>
          <w:tcPr>
            <w:tcW w:type="dxa" w:w="2551"/>
          </w:tcPr>
          <w:p>
            <w:r/>
            <w:r>
              <w:rPr>
                <w:rFonts w:ascii="Georgia" w:hAnsi="Georgia"/>
                <w:color w:val="101718"/>
                <w:sz w:val="18"/>
              </w:rPr>
              <w:t>Mobilisation</w:t>
            </w:r>
          </w:p>
        </w:tc>
        <w:tc>
          <w:tcPr>
            <w:tcW w:type="dxa" w:w="5102"/>
          </w:tcPr>
          <w:p>
            <w:r/>
            <w:r>
              <w:rPr>
                <w:rFonts w:ascii="Georgia" w:hAnsi="Georgia"/>
                <w:color w:val="101718"/>
                <w:sz w:val="18"/>
              </w:rPr>
              <w:t>Contract signature</w:t>
            </w:r>
          </w:p>
        </w:tc>
        <w:tc>
          <w:tcPr>
            <w:tcW w:type="dxa" w:w="1417"/>
          </w:tcPr>
          <w:p>
            <w:r/>
            <w:r>
              <w:rPr>
                <w:rFonts w:ascii="Georgia" w:hAnsi="Georgia"/>
                <w:color w:val="101718"/>
                <w:sz w:val="18"/>
              </w:rPr>
              <w:t>15%</w:t>
            </w:r>
          </w:p>
        </w:tc>
      </w:tr>
      <w:tr>
        <w:tc>
          <w:tcPr>
            <w:tcW w:type="dxa" w:w="2551"/>
          </w:tcPr>
          <w:p>
            <w:r/>
            <w:r>
              <w:rPr>
                <w:rFonts w:ascii="Georgia" w:hAnsi="Georgia"/>
                <w:color w:val="101718"/>
                <w:sz w:val="18"/>
              </w:rPr>
              <w:t>Phase 1 acceptance</w:t>
            </w:r>
          </w:p>
        </w:tc>
        <w:tc>
          <w:tcPr>
            <w:tcW w:type="dxa" w:w="5102"/>
          </w:tcPr>
          <w:p>
            <w:r/>
            <w:r>
              <w:rPr>
                <w:rFonts w:ascii="Georgia" w:hAnsi="Georgia"/>
                <w:color w:val="101718"/>
                <w:sz w:val="18"/>
              </w:rPr>
              <w:t>Workshop Core demonstrated against acceptance criteria</w:t>
            </w:r>
          </w:p>
        </w:tc>
        <w:tc>
          <w:tcPr>
            <w:tcW w:type="dxa" w:w="1417"/>
          </w:tcPr>
          <w:p>
            <w:r/>
            <w:r>
              <w:rPr>
                <w:rFonts w:ascii="Georgia" w:hAnsi="Georgia"/>
                <w:color w:val="101718"/>
                <w:sz w:val="18"/>
              </w:rPr>
              <w:t>30%</w:t>
            </w:r>
          </w:p>
        </w:tc>
      </w:tr>
      <w:tr>
        <w:tc>
          <w:tcPr>
            <w:tcW w:type="dxa" w:w="2551"/>
          </w:tcPr>
          <w:p>
            <w:r/>
            <w:r>
              <w:rPr>
                <w:rFonts w:ascii="Georgia" w:hAnsi="Georgia"/>
                <w:color w:val="101718"/>
                <w:sz w:val="18"/>
              </w:rPr>
              <w:t>Phase 2 acceptance</w:t>
            </w:r>
          </w:p>
        </w:tc>
        <w:tc>
          <w:tcPr>
            <w:tcW w:type="dxa" w:w="5102"/>
          </w:tcPr>
          <w:p>
            <w:r/>
            <w:r>
              <w:rPr>
                <w:rFonts w:ascii="Georgia" w:hAnsi="Georgia"/>
                <w:color w:val="101718"/>
                <w:sz w:val="18"/>
              </w:rPr>
              <w:t>Inventory and Procurement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Phase 3 acceptance</w:t>
            </w:r>
          </w:p>
        </w:tc>
        <w:tc>
          <w:tcPr>
            <w:tcW w:type="dxa" w:w="5102"/>
          </w:tcPr>
          <w:p>
            <w:r/>
            <w:r>
              <w:rPr>
                <w:rFonts w:ascii="Georgia" w:hAnsi="Georgia"/>
                <w:color w:val="101718"/>
                <w:sz w:val="18"/>
              </w:rPr>
              <w:t>Finance and ERP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Warranty release</w:t>
            </w:r>
          </w:p>
        </w:tc>
        <w:tc>
          <w:tcPr>
            <w:tcW w:type="dxa" w:w="5102"/>
          </w:tcPr>
          <w:p>
            <w:r/>
            <w:r>
              <w:rPr>
                <w:rFonts w:ascii="Georgia" w:hAnsi="Georgia"/>
                <w:color w:val="101718"/>
                <w:sz w:val="18"/>
              </w:rPr>
              <w:t>30 days after Phase 3 acceptance</w:t>
            </w:r>
          </w:p>
        </w:tc>
        <w:tc>
          <w:tcPr>
            <w:tcW w:type="dxa" w:w="1417"/>
          </w:tcPr>
          <w:p>
            <w:r/>
            <w:r>
              <w:rPr>
                <w:rFonts w:ascii="Georgia" w:hAnsi="Georgia"/>
                <w:color w:val="101718"/>
                <w:sz w:val="18"/>
              </w:rPr>
              <w:t>5%</w:t>
            </w:r>
          </w:p>
        </w:tc>
      </w:tr>
    </w:tbl>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701"/>
            <w:shd w:val="clear" w:fill="ECEFF0"/>
          </w:tcPr>
          <w:p>
            <w:r/>
            <w:r>
              <w:rPr>
                <w:rFonts w:ascii="Arial" w:hAnsi="Arial"/>
                <w:b/>
                <w:color w:val="0D3B3F"/>
                <w:sz w:val="15"/>
              </w:rPr>
              <w:t>TIER</w:t>
            </w:r>
          </w:p>
        </w:tc>
        <w:tc>
          <w:tcPr>
            <w:tcW w:type="dxa" w:w="1417"/>
            <w:shd w:val="clear" w:fill="ECEFF0"/>
          </w:tcPr>
          <w:p>
            <w:r/>
            <w:r>
              <w:rPr>
                <w:rFonts w:ascii="Arial" w:hAnsi="Arial"/>
                <w:b/>
                <w:color w:val="0D3B3F"/>
                <w:sz w:val="15"/>
              </w:rPr>
              <w:t>PRICE</w:t>
            </w:r>
          </w:p>
        </w:tc>
        <w:tc>
          <w:tcPr>
            <w:tcW w:type="dxa" w:w="5953"/>
            <w:shd w:val="clear" w:fill="ECEFF0"/>
          </w:tcPr>
          <w:p>
            <w:r/>
            <w:r>
              <w:rPr>
                <w:rFonts w:ascii="Arial" w:hAnsi="Arial"/>
                <w:b/>
                <w:color w:val="0D3B3F"/>
                <w:sz w:val="15"/>
              </w:rPr>
              <w:t>INCLUDES</w:t>
            </w:r>
          </w:p>
        </w:tc>
      </w:tr>
      <w:tr>
        <w:tc>
          <w:tcPr>
            <w:tcW w:type="dxa" w:w="1701"/>
          </w:tcPr>
          <w:p>
            <w:r/>
            <w:r>
              <w:rPr>
                <w:rFonts w:ascii="Georgia" w:hAnsi="Georgia"/>
                <w:color w:val="101718"/>
                <w:sz w:val="18"/>
              </w:rPr>
              <w:t>Core</w:t>
            </w:r>
          </w:p>
        </w:tc>
        <w:tc>
          <w:tcPr>
            <w:tcW w:type="dxa" w:w="1417"/>
          </w:tcPr>
          <w:p>
            <w:r/>
            <w:r>
              <w:rPr>
                <w:rFonts w:ascii="Georgia" w:hAnsi="Georgia"/>
                <w:color w:val="101718"/>
                <w:sz w:val="18"/>
              </w:rPr>
              <w:t>GBP 39</w:t>
            </w:r>
          </w:p>
        </w:tc>
        <w:tc>
          <w:tcPr>
            <w:tcW w:type="dxa" w:w="5953"/>
          </w:tcPr>
          <w:p>
            <w:r/>
            <w:r>
              <w:rPr>
                <w:rFonts w:ascii="Georgia" w:hAnsi="Georgia"/>
                <w:color w:val="101718"/>
                <w:sz w:val="18"/>
              </w:rPr>
              <w:t>Diary, jobs, customers, vehicles, inspections, estimates, invoicing, technician interface, customer portal, passport writing</w:t>
            </w:r>
          </w:p>
        </w:tc>
      </w:tr>
      <w:tr>
        <w:tc>
          <w:tcPr>
            <w:tcW w:type="dxa" w:w="1701"/>
          </w:tcPr>
          <w:p>
            <w:r/>
            <w:r>
              <w:rPr>
                <w:rFonts w:ascii="Georgia" w:hAnsi="Georgia"/>
                <w:color w:val="101718"/>
                <w:sz w:val="18"/>
              </w:rPr>
              <w:t>Complete</w:t>
            </w:r>
          </w:p>
        </w:tc>
        <w:tc>
          <w:tcPr>
            <w:tcW w:type="dxa" w:w="1417"/>
          </w:tcPr>
          <w:p>
            <w:r/>
            <w:r>
              <w:rPr>
                <w:rFonts w:ascii="Georgia" w:hAnsi="Georgia"/>
                <w:color w:val="101718"/>
                <w:sz w:val="18"/>
              </w:rPr>
              <w:t>GBP 69</w:t>
            </w:r>
          </w:p>
        </w:tc>
        <w:tc>
          <w:tcPr>
            <w:tcW w:type="dxa" w:w="5953"/>
          </w:tcPr>
          <w:p>
            <w:r/>
            <w:r>
              <w:rPr>
                <w:rFonts w:ascii="Georgia" w:hAnsi="Georgia"/>
                <w:color w:val="101718"/>
                <w:sz w:val="18"/>
              </w:rPr>
              <w:t>Core plus inventory, purchasing, suppliers, general ledger, financial statements, job profitability</w:t>
            </w:r>
          </w:p>
        </w:tc>
      </w:tr>
      <w:tr>
        <w:tc>
          <w:tcPr>
            <w:tcW w:type="dxa" w:w="1701"/>
          </w:tcPr>
          <w:p>
            <w:r/>
            <w:r>
              <w:rPr>
                <w:rFonts w:ascii="Georgia" w:hAnsi="Georgia"/>
                <w:color w:val="101718"/>
                <w:sz w:val="18"/>
              </w:rPr>
              <w:t>Group</w:t>
            </w:r>
          </w:p>
        </w:tc>
        <w:tc>
          <w:tcPr>
            <w:tcW w:type="dxa" w:w="1417"/>
          </w:tcPr>
          <w:p>
            <w:r/>
            <w:r>
              <w:rPr>
                <w:rFonts w:ascii="Georgia" w:hAnsi="Georgia"/>
                <w:color w:val="101718"/>
                <w:sz w:val="18"/>
              </w:rPr>
              <w:t>GBP 99</w:t>
            </w:r>
          </w:p>
        </w:tc>
        <w:tc>
          <w:tcPr>
            <w:tcW w:type="dxa" w:w="5953"/>
          </w:tcPr>
          <w:p>
            <w:r/>
            <w:r>
              <w:rPr>
                <w:rFonts w:ascii="Georgia" w:hAnsi="Georgia"/>
                <w:color w:val="101718"/>
                <w:sz w:val="18"/>
              </w:rPr>
              <w:t>Complete plus multi-location, consolidated reporting, stock transfer, commissions, priority support</w:t>
            </w:r>
          </w:p>
        </w:tc>
      </w:tr>
    </w:tbl>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685"/>
            <w:shd w:val="clear" w:fill="ECEFF0"/>
          </w:tcPr>
          <w:p>
            <w:r/>
            <w:r>
              <w:rPr>
                <w:rFonts w:ascii="Arial" w:hAnsi="Arial"/>
                <w:b/>
                <w:color w:val="0D3B3F"/>
                <w:sz w:val="15"/>
              </w:rPr>
              <w:t>PRODUCT</w:t>
            </w:r>
          </w:p>
        </w:tc>
        <w:tc>
          <w:tcPr>
            <w:tcW w:type="dxa" w:w="2268"/>
            <w:shd w:val="clear" w:fill="ECEFF0"/>
          </w:tcPr>
          <w:p>
            <w:r/>
            <w:r>
              <w:rPr>
                <w:rFonts w:ascii="Arial" w:hAnsi="Arial"/>
                <w:b/>
                <w:color w:val="0D3B3F"/>
                <w:sz w:val="15"/>
              </w:rPr>
              <w:t>PRICE</w:t>
            </w:r>
          </w:p>
        </w:tc>
        <w:tc>
          <w:tcPr>
            <w:tcW w:type="dxa" w:w="3118"/>
            <w:shd w:val="clear" w:fill="ECEFF0"/>
          </w:tcPr>
          <w:p>
            <w:r/>
            <w:r>
              <w:rPr>
                <w:rFonts w:ascii="Arial" w:hAnsi="Arial"/>
                <w:b/>
                <w:color w:val="0D3B3F"/>
                <w:sz w:val="15"/>
              </w:rPr>
              <w:t>BUYER</w:t>
            </w:r>
          </w:p>
        </w:tc>
      </w:tr>
      <w:tr>
        <w:tc>
          <w:tcPr>
            <w:tcW w:type="dxa" w:w="3685"/>
          </w:tcPr>
          <w:p>
            <w:r/>
            <w:r>
              <w:rPr>
                <w:rFonts w:ascii="Georgia" w:hAnsi="Georgia"/>
                <w:color w:val="101718"/>
                <w:sz w:val="18"/>
              </w:rPr>
              <w:t>Owner access to their own vehicles</w:t>
            </w:r>
          </w:p>
        </w:tc>
        <w:tc>
          <w:tcPr>
            <w:tcW w:type="dxa" w:w="2268"/>
          </w:tcPr>
          <w:p>
            <w:r/>
            <w:r>
              <w:rPr>
                <w:rFonts w:ascii="Georgia" w:hAnsi="Georgia"/>
                <w:color w:val="101718"/>
                <w:sz w:val="18"/>
              </w:rPr>
              <w:t>Free</w:t>
            </w:r>
          </w:p>
        </w:tc>
        <w:tc>
          <w:tcPr>
            <w:tcW w:type="dxa" w:w="3118"/>
          </w:tcPr>
          <w:p>
            <w:r/>
            <w:r>
              <w:rPr>
                <w:rFonts w:ascii="Georgia" w:hAnsi="Georgia"/>
                <w:color w:val="101718"/>
                <w:sz w:val="18"/>
              </w:rPr>
              <w:t>Every owner, permanently</w:t>
            </w:r>
          </w:p>
        </w:tc>
      </w:tr>
      <w:tr>
        <w:tc>
          <w:tcPr>
            <w:tcW w:type="dxa" w:w="3685"/>
          </w:tcPr>
          <w:p>
            <w:r/>
            <w:r>
              <w:rPr>
                <w:rFonts w:ascii="Georgia" w:hAnsi="Georgia"/>
                <w:color w:val="101718"/>
                <w:sz w:val="18"/>
              </w:rPr>
              <w:t>Share link to a prospective buyer</w:t>
            </w:r>
          </w:p>
        </w:tc>
        <w:tc>
          <w:tcPr>
            <w:tcW w:type="dxa" w:w="2268"/>
          </w:tcPr>
          <w:p>
            <w:r/>
            <w:r>
              <w:rPr>
                <w:rFonts w:ascii="Georgia" w:hAnsi="Georgia"/>
                <w:color w:val="101718"/>
                <w:sz w:val="18"/>
              </w:rPr>
              <w:t>Free</w:t>
            </w:r>
          </w:p>
        </w:tc>
        <w:tc>
          <w:tcPr>
            <w:tcW w:type="dxa" w:w="3118"/>
          </w:tcPr>
          <w:p>
            <w:r/>
            <w:r>
              <w:rPr>
                <w:rFonts w:ascii="Georgia" w:hAnsi="Georgia"/>
                <w:color w:val="101718"/>
                <w:sz w:val="18"/>
              </w:rPr>
              <w:t>Seller</w:t>
            </w:r>
          </w:p>
        </w:tc>
      </w:tr>
      <w:tr>
        <w:tc>
          <w:tcPr>
            <w:tcW w:type="dxa" w:w="3685"/>
          </w:tcPr>
          <w:p>
            <w:r/>
            <w:r>
              <w:rPr>
                <w:rFonts w:ascii="Georgia" w:hAnsi="Georgia"/>
                <w:color w:val="101718"/>
                <w:sz w:val="18"/>
              </w:rPr>
              <w:t>Verified buyer report</w:t>
            </w:r>
          </w:p>
        </w:tc>
        <w:tc>
          <w:tcPr>
            <w:tcW w:type="dxa" w:w="2268"/>
          </w:tcPr>
          <w:p>
            <w:r/>
            <w:r>
              <w:rPr>
                <w:rFonts w:ascii="Georgia" w:hAnsi="Georgia"/>
                <w:color w:val="101718"/>
                <w:sz w:val="18"/>
              </w:rPr>
              <w:t>GBP 14.99</w:t>
            </w:r>
          </w:p>
        </w:tc>
        <w:tc>
          <w:tcPr>
            <w:tcW w:type="dxa" w:w="3118"/>
          </w:tcPr>
          <w:p>
            <w:r/>
            <w:r>
              <w:rPr>
                <w:rFonts w:ascii="Georgia" w:hAnsi="Georgia"/>
                <w:color w:val="101718"/>
                <w:sz w:val="18"/>
              </w:rPr>
              <w:t>Private buyer</w:t>
            </w:r>
          </w:p>
        </w:tc>
      </w:tr>
      <w:tr>
        <w:tc>
          <w:tcPr>
            <w:tcW w:type="dxa" w:w="3685"/>
          </w:tcPr>
          <w:p>
            <w:r/>
            <w:r>
              <w:rPr>
                <w:rFonts w:ascii="Georgia" w:hAnsi="Georgia"/>
                <w:color w:val="101718"/>
                <w:sz w:val="18"/>
              </w:rPr>
              <w:t>Trade seat, unlimited reports</w:t>
            </w:r>
          </w:p>
        </w:tc>
        <w:tc>
          <w:tcPr>
            <w:tcW w:type="dxa" w:w="2268"/>
          </w:tcPr>
          <w:p>
            <w:r/>
            <w:r>
              <w:rPr>
                <w:rFonts w:ascii="Georgia" w:hAnsi="Georgia"/>
                <w:color w:val="101718"/>
                <w:sz w:val="18"/>
              </w:rPr>
              <w:t>GBP 99/month</w:t>
            </w:r>
          </w:p>
        </w:tc>
        <w:tc>
          <w:tcPr>
            <w:tcW w:type="dxa" w:w="3118"/>
          </w:tcPr>
          <w:p>
            <w:r/>
            <w:r>
              <w:rPr>
                <w:rFonts w:ascii="Georgia" w:hAnsi="Georgia"/>
                <w:color w:val="101718"/>
                <w:sz w:val="18"/>
              </w:rPr>
              <w:t>Used-car dealers</w:t>
            </w:r>
          </w:p>
        </w:tc>
      </w:tr>
      <w:tr>
        <w:tc>
          <w:tcPr>
            <w:tcW w:type="dxa" w:w="3685"/>
          </w:tcPr>
          <w:p>
            <w:r/>
            <w:r>
              <w:rPr>
                <w:rFonts w:ascii="Georgia" w:hAnsi="Georgia"/>
                <w:color w:val="101718"/>
                <w:sz w:val="18"/>
              </w:rPr>
              <w:t>API access</w:t>
            </w:r>
          </w:p>
        </w:tc>
        <w:tc>
          <w:tcPr>
            <w:tcW w:type="dxa" w:w="2268"/>
          </w:tcPr>
          <w:p>
            <w:r/>
            <w:r>
              <w:rPr>
                <w:rFonts w:ascii="Georgia" w:hAnsi="Georgia"/>
                <w:color w:val="101718"/>
                <w:sz w:val="18"/>
              </w:rPr>
              <w:t>Volume-priced</w:t>
            </w:r>
          </w:p>
        </w:tc>
        <w:tc>
          <w:tcPr>
            <w:tcW w:type="dxa" w:w="3118"/>
          </w:tcPr>
          <w:p>
            <w:r/>
            <w:r>
              <w:rPr>
                <w:rFonts w:ascii="Georgia" w:hAnsi="Georgia"/>
                <w:color w:val="101718"/>
                <w:sz w:val="18"/>
              </w:rPr>
              <w:t>Insurers, auctions, finance</w:t>
            </w:r>
          </w:p>
        </w:tc>
      </w:tr>
    </w:tbl>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tbl>
      <w:tblPr>
        <w:tblStyle w:val="TableGrid"/>
        <w:tblW w:type="auto" w:w="0"/>
        <w:jc w:val="left"/>
        <w:tblLayout w:type="autofit"/>
        <w:tblLook w:firstColumn="1" w:firstRow="1" w:lastColumn="0" w:lastRow="0" w:noHBand="0" w:noVBand="1" w:val="04A0"/>
      </w:tblPr>
      <w:tblGrid>
        <w:gridCol w:w="4759"/>
        <w:gridCol w:w="4759"/>
      </w:tblGrid>
      <w:tr>
        <w:tc>
          <w:tcPr>
            <w:tcW w:type="dxa" w:w="4535"/>
            <w:shd w:val="clear" w:fill="ECEFF0"/>
          </w:tcPr>
          <w:p>
            <w:r/>
            <w:r>
              <w:rPr>
                <w:rFonts w:ascii="Arial" w:hAnsi="Arial"/>
                <w:b/>
                <w:color w:val="0D3B3F"/>
                <w:sz w:val="15"/>
              </w:rPr>
              <w:t>MEASURE</w:t>
            </w:r>
          </w:p>
        </w:tc>
        <w:tc>
          <w:tcPr>
            <w:tcW w:type="dxa" w:w="4535"/>
            <w:shd w:val="clear" w:fill="ECEFF0"/>
          </w:tcPr>
          <w:p>
            <w:r/>
            <w:r>
              <w:rPr>
                <w:rFonts w:ascii="Arial" w:hAnsi="Arial"/>
                <w:b/>
                <w:color w:val="0D3B3F"/>
                <w:sz w:val="15"/>
              </w:rPr>
              <w:t>VALUE</w:t>
            </w:r>
          </w:p>
        </w:tc>
      </w:tr>
      <w:tr>
        <w:tc>
          <w:tcPr>
            <w:tcW w:type="dxa" w:w="4535"/>
          </w:tcPr>
          <w:p>
            <w:r/>
            <w:r>
              <w:rPr>
                <w:rFonts w:ascii="Georgia" w:hAnsi="Georgia"/>
                <w:color w:val="101718"/>
                <w:sz w:val="18"/>
              </w:rPr>
              <w:t>ARPA</w:t>
            </w:r>
          </w:p>
        </w:tc>
        <w:tc>
          <w:tcPr>
            <w:tcW w:type="dxa" w:w="4535"/>
          </w:tcPr>
          <w:p>
            <w:r/>
            <w:r>
              <w:rPr>
                <w:rFonts w:ascii="Georgia" w:hAnsi="Georgia"/>
                <w:color w:val="101718"/>
                <w:sz w:val="18"/>
              </w:rPr>
              <w:t>GBP 4,968 per year</w:t>
            </w:r>
          </w:p>
        </w:tc>
      </w:tr>
      <w:tr>
        <w:tc>
          <w:tcPr>
            <w:tcW w:type="dxa" w:w="4535"/>
          </w:tcPr>
          <w:p>
            <w:r/>
            <w:r>
              <w:rPr>
                <w:rFonts w:ascii="Georgia" w:hAnsi="Georgia"/>
                <w:color w:val="101718"/>
                <w:sz w:val="18"/>
              </w:rPr>
              <w:t>Gross margin</w:t>
            </w:r>
          </w:p>
        </w:tc>
        <w:tc>
          <w:tcPr>
            <w:tcW w:type="dxa" w:w="4535"/>
          </w:tcPr>
          <w:p>
            <w:r/>
            <w:r>
              <w:rPr>
                <w:rFonts w:ascii="Georgia" w:hAnsi="Georgia"/>
                <w:color w:val="101718"/>
                <w:sz w:val="18"/>
              </w:rPr>
              <w:t>82%</w:t>
            </w:r>
          </w:p>
        </w:tc>
      </w:tr>
      <w:tr>
        <w:tc>
          <w:tcPr>
            <w:tcW w:type="dxa" w:w="4535"/>
          </w:tcPr>
          <w:p>
            <w:r/>
            <w:r>
              <w:rPr>
                <w:rFonts w:ascii="Georgia" w:hAnsi="Georgia"/>
                <w:color w:val="101718"/>
                <w:sz w:val="18"/>
              </w:rPr>
              <w:t>Customer acquisition cost</w:t>
            </w:r>
          </w:p>
        </w:tc>
        <w:tc>
          <w:tcPr>
            <w:tcW w:type="dxa" w:w="4535"/>
          </w:tcPr>
          <w:p>
            <w:r/>
            <w:r>
              <w:rPr>
                <w:rFonts w:ascii="Georgia" w:hAnsi="Georgia"/>
                <w:color w:val="101718"/>
                <w:sz w:val="18"/>
              </w:rPr>
              <w:t>GBP 1,400</w:t>
            </w:r>
          </w:p>
        </w:tc>
      </w:tr>
      <w:tr>
        <w:tc>
          <w:tcPr>
            <w:tcW w:type="dxa" w:w="4535"/>
          </w:tcPr>
          <w:p>
            <w:r/>
            <w:r>
              <w:rPr>
                <w:rFonts w:ascii="Georgia" w:hAnsi="Georgia"/>
                <w:color w:val="101718"/>
                <w:sz w:val="18"/>
              </w:rPr>
              <w:t>CAC payback</w:t>
            </w:r>
          </w:p>
        </w:tc>
        <w:tc>
          <w:tcPr>
            <w:tcW w:type="dxa" w:w="4535"/>
          </w:tcPr>
          <w:p>
            <w:r/>
            <w:r>
              <w:rPr>
                <w:rFonts w:ascii="Georgia" w:hAnsi="Georgia"/>
                <w:color w:val="101718"/>
                <w:sz w:val="18"/>
              </w:rPr>
              <w:t>4.1 months</w:t>
            </w:r>
          </w:p>
        </w:tc>
      </w:tr>
      <w:tr>
        <w:tc>
          <w:tcPr>
            <w:tcW w:type="dxa" w:w="4535"/>
          </w:tcPr>
          <w:p>
            <w:r/>
            <w:r>
              <w:rPr>
                <w:rFonts w:ascii="Georgia" w:hAnsi="Georgia"/>
                <w:color w:val="101718"/>
                <w:sz w:val="18"/>
              </w:rPr>
              <w:t>Assumed annual churn</w:t>
            </w:r>
          </w:p>
        </w:tc>
        <w:tc>
          <w:tcPr>
            <w:tcW w:type="dxa" w:w="4535"/>
          </w:tcPr>
          <w:p>
            <w:r/>
            <w:r>
              <w:rPr>
                <w:rFonts w:ascii="Georgia" w:hAnsi="Georgia"/>
                <w:color w:val="101718"/>
                <w:sz w:val="18"/>
              </w:rPr>
              <w:t>12%</w:t>
            </w:r>
          </w:p>
        </w:tc>
      </w:tr>
      <w:tr>
        <w:tc>
          <w:tcPr>
            <w:tcW w:type="dxa" w:w="4535"/>
          </w:tcPr>
          <w:p>
            <w:r/>
            <w:r>
              <w:rPr>
                <w:rFonts w:ascii="Georgia" w:hAnsi="Georgia"/>
                <w:color w:val="101718"/>
                <w:sz w:val="18"/>
              </w:rPr>
              <w:t>Lifetime value</w:t>
            </w:r>
          </w:p>
        </w:tc>
        <w:tc>
          <w:tcPr>
            <w:tcW w:type="dxa" w:w="4535"/>
          </w:tcPr>
          <w:p>
            <w:r/>
            <w:r>
              <w:rPr>
                <w:rFonts w:ascii="Georgia" w:hAnsi="Georgia"/>
                <w:color w:val="101718"/>
                <w:sz w:val="18"/>
              </w:rPr>
              <w:t>GBP 33,800</w:t>
            </w:r>
          </w:p>
        </w:tc>
      </w:tr>
      <w:tr>
        <w:tc>
          <w:tcPr>
            <w:tcW w:type="dxa" w:w="4535"/>
          </w:tcPr>
          <w:p>
            <w:r/>
            <w:r>
              <w:rPr>
                <w:rFonts w:ascii="Georgia" w:hAnsi="Georgia"/>
                <w:color w:val="101718"/>
                <w:sz w:val="18"/>
              </w:rPr>
              <w:t>LTV to CAC</w:t>
            </w:r>
          </w:p>
        </w:tc>
        <w:tc>
          <w:tcPr>
            <w:tcW w:type="dxa" w:w="4535"/>
          </w:tcPr>
          <w:p>
            <w:r/>
            <w:r>
              <w:rPr>
                <w:rFonts w:ascii="Georgia" w:hAnsi="Georgia"/>
                <w:color w:val="101718"/>
                <w:sz w:val="18"/>
              </w:rPr>
              <w:t>24 : 1</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FRAGILE ASSUMPTION</w:t>
            </w:r>
          </w:p>
          <w:p>
            <w:r>
              <w:rPr>
                <w:rFonts w:ascii="Georgia" w:hAnsi="Georgia"/>
                <w:color w:val="101718"/>
                <w:sz w:val="19"/>
              </w:rPr>
              <w:t>That ratio is high because assumed annual churn is 12%. A workshop that has put its diary, its history and its ledger into a system does not casually leave, but this is an assumption until measured, and it is the single number most capable of making the model wrong.</w:t>
            </w:r>
          </w:p>
        </w:tc>
      </w:tr>
    </w:tbl>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680"/>
            <w:shd w:val="clear" w:fill="ECEFF0"/>
          </w:tcPr>
          <w:p>
            <w:r/>
            <w:r>
              <w:rPr>
                <w:rFonts w:ascii="Arial" w:hAnsi="Arial"/>
                <w:b/>
                <w:color w:val="0D3B3F"/>
                <w:sz w:val="15"/>
              </w:rPr>
              <w:t>#</w:t>
            </w:r>
          </w:p>
        </w:tc>
        <w:tc>
          <w:tcPr>
            <w:tcW w:type="dxa" w:w="3005"/>
            <w:shd w:val="clear" w:fill="ECEFF0"/>
          </w:tcPr>
          <w:p>
            <w:r/>
            <w:r>
              <w:rPr>
                <w:rFonts w:ascii="Arial" w:hAnsi="Arial"/>
                <w:b/>
                <w:color w:val="0D3B3F"/>
                <w:sz w:val="15"/>
              </w:rPr>
              <w:t>RISK</w:t>
            </w:r>
          </w:p>
        </w:tc>
        <w:tc>
          <w:tcPr>
            <w:tcW w:type="dxa" w:w="1134"/>
            <w:shd w:val="clear" w:fill="ECEFF0"/>
          </w:tcPr>
          <w:p>
            <w:r/>
            <w:r>
              <w:rPr>
                <w:rFonts w:ascii="Arial" w:hAnsi="Arial"/>
                <w:b/>
                <w:color w:val="0D3B3F"/>
                <w:sz w:val="15"/>
              </w:rPr>
              <w:t>IMPACT</w:t>
            </w:r>
          </w:p>
        </w:tc>
        <w:tc>
          <w:tcPr>
            <w:tcW w:type="dxa" w:w="4252"/>
            <w:shd w:val="clear" w:fill="ECEFF0"/>
          </w:tcPr>
          <w:p>
            <w:r/>
            <w:r>
              <w:rPr>
                <w:rFonts w:ascii="Arial" w:hAnsi="Arial"/>
                <w:b/>
                <w:color w:val="0D3B3F"/>
                <w:sz w:val="15"/>
              </w:rPr>
              <w:t>MITIGATION</w:t>
            </w:r>
          </w:p>
        </w:tc>
      </w:tr>
      <w:tr>
        <w:tc>
          <w:tcPr>
            <w:tcW w:type="dxa" w:w="680"/>
          </w:tcPr>
          <w:p>
            <w:r/>
            <w:r>
              <w:rPr>
                <w:rFonts w:ascii="Georgia" w:hAnsi="Georgia"/>
                <w:color w:val="101718"/>
                <w:sz w:val="18"/>
              </w:rPr>
              <w:t>R1</w:t>
            </w:r>
          </w:p>
        </w:tc>
        <w:tc>
          <w:tcPr>
            <w:tcW w:type="dxa" w:w="3005"/>
          </w:tcPr>
          <w:p>
            <w:r/>
            <w:r>
              <w:rPr>
                <w:rFonts w:ascii="Georgia" w:hAnsi="Georgia"/>
                <w:color w:val="101718"/>
                <w:sz w:val="18"/>
              </w:rPr>
              <w:t>Technicians do not adopt the shop-floor interface. Data quality collapses and the passport is worthless.</w:t>
            </w:r>
          </w:p>
        </w:tc>
        <w:tc>
          <w:tcPr>
            <w:tcW w:type="dxa" w:w="1134"/>
          </w:tcPr>
          <w:p>
            <w:r/>
            <w:r>
              <w:rPr>
                <w:rFonts w:ascii="Georgia" w:hAnsi="Georgia"/>
                <w:color w:val="101718"/>
                <w:sz w:val="18"/>
              </w:rPr>
              <w:t>Critical</w:t>
            </w:r>
          </w:p>
        </w:tc>
        <w:tc>
          <w:tcPr>
            <w:tcW w:type="dxa" w:w="4252"/>
          </w:tcPr>
          <w:p>
            <w:r/>
            <w:r>
              <w:rPr>
                <w:rFonts w:ascii="Georgia" w:hAnsi="Georgia"/>
                <w:color w:val="101718"/>
                <w:sz w:val="18"/>
              </w:rPr>
              <w:t>Design partners from week 3. Usability testing on real tablets, in a real workshop, with gloves on, before Phase 1 acceptance.</w:t>
            </w:r>
          </w:p>
        </w:tc>
      </w:tr>
      <w:tr>
        <w:tc>
          <w:tcPr>
            <w:tcW w:type="dxa" w:w="680"/>
          </w:tcPr>
          <w:p>
            <w:r/>
            <w:r>
              <w:rPr>
                <w:rFonts w:ascii="Georgia" w:hAnsi="Georgia"/>
                <w:color w:val="101718"/>
                <w:sz w:val="18"/>
              </w:rPr>
              <w:t>R2</w:t>
            </w:r>
          </w:p>
        </w:tc>
        <w:tc>
          <w:tcPr>
            <w:tcW w:type="dxa" w:w="3005"/>
          </w:tcPr>
          <w:p>
            <w:r/>
            <w:r>
              <w:rPr>
                <w:rFonts w:ascii="Georgia" w:hAnsi="Georgia"/>
                <w:color w:val="101718"/>
                <w:sz w:val="18"/>
              </w:rPr>
              <w:t>Accounting correctness defects. A ledger that does not balance destroys trust irrecoverably.</w:t>
            </w:r>
          </w:p>
        </w:tc>
        <w:tc>
          <w:tcPr>
            <w:tcW w:type="dxa" w:w="1134"/>
          </w:tcPr>
          <w:p>
            <w:r/>
            <w:r>
              <w:rPr>
                <w:rFonts w:ascii="Georgia" w:hAnsi="Georgia"/>
                <w:color w:val="101718"/>
                <w:sz w:val="18"/>
              </w:rPr>
              <w:t>Critical</w:t>
            </w:r>
          </w:p>
        </w:tc>
        <w:tc>
          <w:tcPr>
            <w:tcW w:type="dxa" w:w="4252"/>
          </w:tcPr>
          <w:p>
            <w:r/>
            <w:r>
              <w:rPr>
                <w:rFonts w:ascii="Georgia" w:hAnsi="Georgia"/>
                <w:color w:val="101718"/>
                <w:sz w:val="18"/>
              </w:rPr>
              <w:t>Double-entry invariants enforced in the database, not only in code. No unbalanced journal can post. External accountant review before Phase 3 acceptance.</w:t>
            </w:r>
          </w:p>
        </w:tc>
      </w:tr>
      <w:tr>
        <w:tc>
          <w:tcPr>
            <w:tcW w:type="dxa" w:w="680"/>
          </w:tcPr>
          <w:p>
            <w:r/>
            <w:r>
              <w:rPr>
                <w:rFonts w:ascii="Georgia" w:hAnsi="Georgia"/>
                <w:color w:val="101718"/>
                <w:sz w:val="18"/>
              </w:rPr>
              <w:t>R3</w:t>
            </w:r>
          </w:p>
        </w:tc>
        <w:tc>
          <w:tcPr>
            <w:tcW w:type="dxa" w:w="3005"/>
          </w:tcPr>
          <w:p>
            <w:r/>
            <w:r>
              <w:rPr>
                <w:rFonts w:ascii="Georgia" w:hAnsi="Georgia"/>
                <w:color w:val="101718"/>
                <w:sz w:val="18"/>
              </w:rPr>
              <w:t>Cold start. Passports stay empty long enough that the differentiator never materialises.</w:t>
            </w:r>
          </w:p>
        </w:tc>
        <w:tc>
          <w:tcPr>
            <w:tcW w:type="dxa" w:w="1134"/>
          </w:tcPr>
          <w:p>
            <w:r/>
            <w:r>
              <w:rPr>
                <w:rFonts w:ascii="Georgia" w:hAnsi="Georgia"/>
                <w:color w:val="101718"/>
                <w:sz w:val="18"/>
              </w:rPr>
              <w:t>High</w:t>
            </w:r>
          </w:p>
        </w:tc>
        <w:tc>
          <w:tcPr>
            <w:tcW w:type="dxa" w:w="4252"/>
          </w:tcPr>
          <w:p>
            <w:r/>
            <w:r>
              <w:rPr>
                <w:rFonts w:ascii="Georgia" w:hAnsi="Georgia"/>
                <w:color w:val="101718"/>
                <w:sz w:val="18"/>
              </w:rPr>
              <w:t>Phase 1 already writes passport events. Coverage measured from day one. Revenue share designed in from the start rather than retrofitted.</w:t>
            </w:r>
          </w:p>
        </w:tc>
      </w:tr>
      <w:tr>
        <w:tc>
          <w:tcPr>
            <w:tcW w:type="dxa" w:w="680"/>
          </w:tcPr>
          <w:p>
            <w:r/>
            <w:r>
              <w:rPr>
                <w:rFonts w:ascii="Georgia" w:hAnsi="Georgia"/>
                <w:color w:val="101718"/>
                <w:sz w:val="18"/>
              </w:rPr>
              <w:t>R4</w:t>
            </w:r>
          </w:p>
        </w:tc>
        <w:tc>
          <w:tcPr>
            <w:tcW w:type="dxa" w:w="3005"/>
          </w:tcPr>
          <w:p>
            <w:r/>
            <w:r>
              <w:rPr>
                <w:rFonts w:ascii="Georgia" w:hAnsi="Georgia"/>
                <w:color w:val="101718"/>
                <w:sz w:val="18"/>
              </w:rPr>
              <w:t>Scope expansion into general ERP. The word ERP attracts unbounded requirements.</w:t>
            </w:r>
          </w:p>
        </w:tc>
        <w:tc>
          <w:tcPr>
            <w:tcW w:type="dxa" w:w="1134"/>
          </w:tcPr>
          <w:p>
            <w:r/>
            <w:r>
              <w:rPr>
                <w:rFonts w:ascii="Georgia" w:hAnsi="Georgia"/>
                <w:color w:val="101718"/>
                <w:sz w:val="18"/>
              </w:rPr>
              <w:t>High</w:t>
            </w:r>
          </w:p>
        </w:tc>
        <w:tc>
          <w:tcPr>
            <w:tcW w:type="dxa" w:w="4252"/>
          </w:tcPr>
          <w:p>
            <w:r/>
            <w:r>
              <w:rPr>
                <w:rFonts w:ascii="Georgia" w:hAnsi="Georgia"/>
                <w:color w:val="101718"/>
                <w:sz w:val="18"/>
              </w:rPr>
              <w:t>Explicit written exclusions. Anything off the roadmap requires a change request with cost and schedule impact.</w:t>
            </w:r>
          </w:p>
        </w:tc>
      </w:tr>
      <w:tr>
        <w:tc>
          <w:tcPr>
            <w:tcW w:type="dxa" w:w="680"/>
          </w:tcPr>
          <w:p>
            <w:r/>
            <w:r>
              <w:rPr>
                <w:rFonts w:ascii="Georgia" w:hAnsi="Georgia"/>
                <w:color w:val="101718"/>
                <w:sz w:val="18"/>
              </w:rPr>
              <w:t>R5</w:t>
            </w:r>
          </w:p>
        </w:tc>
        <w:tc>
          <w:tcPr>
            <w:tcW w:type="dxa" w:w="3005"/>
          </w:tcPr>
          <w:p>
            <w:r/>
            <w:r>
              <w:rPr>
                <w:rFonts w:ascii="Georgia" w:hAnsi="Georgia"/>
                <w:color w:val="101718"/>
                <w:sz w:val="18"/>
              </w:rPr>
              <w:t>Data protection exposure. We hold personal data plus a vehicle's complete history.</w:t>
            </w:r>
          </w:p>
        </w:tc>
        <w:tc>
          <w:tcPr>
            <w:tcW w:type="dxa" w:w="1134"/>
          </w:tcPr>
          <w:p>
            <w:r/>
            <w:r>
              <w:rPr>
                <w:rFonts w:ascii="Georgia" w:hAnsi="Georgia"/>
                <w:color w:val="101718"/>
                <w:sz w:val="18"/>
              </w:rPr>
              <w:t>Critical</w:t>
            </w:r>
          </w:p>
        </w:tc>
        <w:tc>
          <w:tcPr>
            <w:tcW w:type="dxa" w:w="4252"/>
          </w:tcPr>
          <w:p>
            <w:r/>
            <w:r>
              <w:rPr>
                <w:rFonts w:ascii="Georgia" w:hAnsi="Georgia"/>
                <w:color w:val="101718"/>
                <w:sz w:val="18"/>
              </w:rPr>
              <w:t>Tenant isolation enforced at the data-access layer rather than by convention. Documented security model. Penetration test before general availability.</w:t>
            </w:r>
          </w:p>
        </w:tc>
      </w:tr>
    </w:tbl>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10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55</w:t>
            </w:r>
          </w:p>
        </w:tc>
      </w:tr>
      <w:tr>
        <w:tc>
          <w:tcPr>
            <w:tcW w:type="dxa" w:w="4759"/>
          </w:tcPr>
          <w:p>
            <w:r>
              <w:t>Database tables</w:t>
            </w:r>
          </w:p>
        </w:tc>
        <w:tc>
          <w:tcPr>
            <w:tcW w:type="dxa" w:w="4759"/>
          </w:tcPr>
          <w:p>
            <w:pPr>
              <w:jc w:val="right"/>
            </w:pPr>
            <w:r>
              <w:t>99</w:t>
            </w:r>
          </w:p>
        </w:tc>
      </w:tr>
      <w:tr>
        <w:tc>
          <w:tcPr>
            <w:tcW w:type="dxa" w:w="4759"/>
          </w:tcPr>
          <w:p>
            <w:r>
              <w:t>Domain tests</w:t>
            </w:r>
          </w:p>
        </w:tc>
        <w:tc>
          <w:tcPr>
            <w:tcW w:type="dxa" w:w="4759"/>
          </w:tcPr>
          <w:p>
            <w:pPr>
              <w:jc w:val="right"/>
            </w:pPr>
            <w:r>
              <w:t>730</w:t>
            </w:r>
          </w:p>
        </w:tc>
      </w:tr>
      <w:tr>
        <w:tc>
          <w:tcPr>
            <w:tcW w:type="dxa" w:w="4759"/>
          </w:tcPr>
          <w:p>
            <w:r>
              <w:t>Database invariant probes</w:t>
            </w:r>
          </w:p>
        </w:tc>
        <w:tc>
          <w:tcPr>
            <w:tcW w:type="dxa" w:w="4759"/>
          </w:tcPr>
          <w:p>
            <w:pPr>
              <w:jc w:val="right"/>
            </w:pPr>
            <w:r>
              <w:t>13</w:t>
            </w:r>
          </w:p>
        </w:tc>
      </w:tr>
      <w:tr>
        <w:tc>
          <w:tcPr>
            <w:tcW w:type="dxa" w:w="4759"/>
          </w:tcPr>
          <w:p>
            <w:r>
              <w:t>Functional requirements</w:t>
            </w:r>
          </w:p>
        </w:tc>
        <w:tc>
          <w:tcPr>
            <w:tcW w:type="dxa" w:w="4759"/>
          </w:tcPr>
          <w:p>
            <w:pPr>
              <w:jc w:val="right"/>
            </w:pPr>
            <w:r>
              <w:t>247</w:t>
            </w:r>
          </w:p>
        </w:tc>
      </w:tr>
      <w:tr>
        <w:tc>
          <w:tcPr>
            <w:tcW w:type="dxa" w:w="4759"/>
          </w:tcPr>
          <w:p>
            <w:r>
              <w:t>Capabilities built</w:t>
            </w:r>
          </w:p>
        </w:tc>
        <w:tc>
          <w:tcPr>
            <w:tcW w:type="dxa" w:w="4759"/>
          </w:tcPr>
          <w:p>
            <w:pPr>
              <w:jc w:val="right"/>
            </w:pPr>
            <w:r>
              <w:t>49 of 83</w:t>
            </w:r>
          </w:p>
        </w:tc>
      </w:tr>
      <w:tr>
        <w:tc>
          <w:tcPr>
            <w:tcW w:type="dxa" w:w="4759"/>
          </w:tcPr>
          <w:p>
            <w:r>
              <w:t>Capabilities partial</w:t>
            </w:r>
          </w:p>
        </w:tc>
        <w:tc>
          <w:tcPr>
            <w:tcW w:type="dxa" w:w="4759"/>
          </w:tcPr>
          <w:p>
            <w:pPr>
              <w:jc w:val="right"/>
            </w:pPr>
            <w:r>
              <w:t>8</w:t>
            </w:r>
          </w:p>
        </w:tc>
      </w:tr>
      <w:tr>
        <w:tc>
          <w:tcPr>
            <w:tcW w:type="dxa" w:w="4759"/>
          </w:tcPr>
          <w:p>
            <w:r>
              <w:t>Capabilities not yet built</w:t>
            </w:r>
          </w:p>
        </w:tc>
        <w:tc>
          <w:tcPr>
            <w:tcW w:type="dxa" w:w="4759"/>
          </w:tcPr>
          <w:p>
            <w:pPr>
              <w:jc w:val="right"/>
            </w:pPr>
            <w:r>
              <w:t>26</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