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17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125</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67</w:t>
            </w:r>
          </w:p>
        </w:tc>
      </w:tr>
      <w:tr>
        <w:tc>
          <w:tcPr>
            <w:tcW w:type="dxa" w:w="4759"/>
          </w:tcPr>
          <w:p>
            <w:r>
              <w:t>Functional requirements</w:t>
            </w:r>
          </w:p>
        </w:tc>
        <w:tc>
          <w:tcPr>
            <w:tcW w:type="dxa" w:w="4759"/>
          </w:tcPr>
          <w:p>
            <w:pPr>
              <w:jc w:val="right"/>
            </w:pPr>
            <w:r>
              <w:t>655</w:t>
            </w:r>
          </w:p>
        </w:tc>
      </w:tr>
      <w:tr>
        <w:tc>
          <w:tcPr>
            <w:tcW w:type="dxa" w:w="4759"/>
          </w:tcPr>
          <w:p>
            <w:r>
              <w:t>Capabilities built</w:t>
            </w:r>
          </w:p>
        </w:tc>
        <w:tc>
          <w:tcPr>
            <w:tcW w:type="dxa" w:w="4759"/>
          </w:tcPr>
          <w:p>
            <w:pPr>
              <w:jc w:val="right"/>
            </w:pPr>
            <w:r>
              <w:t>273 of 275</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