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98</w:t>
            </w:r>
          </w:p>
        </w:tc>
      </w:tr>
      <w:tr>
        <w:tc>
          <w:tcPr>
            <w:tcW w:type="dxa" w:w="4759"/>
          </w:tcPr>
          <w:p>
            <w:r>
              <w:t>Database tables</w:t>
            </w:r>
          </w:p>
        </w:tc>
        <w:tc>
          <w:tcPr>
            <w:tcW w:type="dxa" w:w="4759"/>
          </w:tcPr>
          <w:p>
            <w:pPr>
              <w:jc w:val="right"/>
            </w:pPr>
            <w:r>
              <w:t>125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39</w:t>
            </w:r>
          </w:p>
        </w:tc>
      </w:tr>
      <w:tr>
        <w:tc>
          <w:tcPr>
            <w:tcW w:type="dxa" w:w="4759"/>
          </w:tcPr>
          <w:p>
            <w:r>
              <w:t>Functional requirements</w:t>
            </w:r>
          </w:p>
        </w:tc>
        <w:tc>
          <w:tcPr>
            <w:tcW w:type="dxa" w:w="4759"/>
          </w:tcPr>
          <w:p>
            <w:pPr>
              <w:jc w:val="right"/>
            </w:pPr>
            <w:r>
              <w:t>472</w:t>
            </w:r>
          </w:p>
        </w:tc>
      </w:tr>
      <w:tr>
        <w:tc>
          <w:tcPr>
            <w:tcW w:type="dxa" w:w="4759"/>
          </w:tcPr>
          <w:p>
            <w:r>
              <w:t>Capabilities built</w:t>
            </w:r>
          </w:p>
        </w:tc>
        <w:tc>
          <w:tcPr>
            <w:tcW w:type="dxa" w:w="4759"/>
          </w:tcPr>
          <w:p>
            <w:pPr>
              <w:jc w:val="right"/>
            </w:pPr>
            <w:r>
              <w:t>157 of 187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25</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