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23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130</w:t>
            </w:r>
          </w:p>
        </w:tc>
      </w:tr>
      <w:tr>
        <w:tc>
          <w:tcPr>
            <w:tcW w:type="dxa" w:w="4759"/>
          </w:tcPr>
          <w:p>
            <w:r>
              <w:t>Database tables</w:t>
            </w:r>
          </w:p>
        </w:tc>
        <w:tc>
          <w:tcPr>
            <w:tcW w:type="dxa" w:w="4759"/>
          </w:tcPr>
          <w:p>
            <w:pPr>
              <w:jc w:val="right"/>
            </w:pPr>
            <w:r>
              <w:t>156</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87</w:t>
            </w:r>
          </w:p>
        </w:tc>
      </w:tr>
      <w:tr>
        <w:tc>
          <w:tcPr>
            <w:tcW w:type="dxa" w:w="4759"/>
          </w:tcPr>
          <w:p>
            <w:r>
              <w:t>Functional requirements</w:t>
            </w:r>
          </w:p>
        </w:tc>
        <w:tc>
          <w:tcPr>
            <w:tcW w:type="dxa" w:w="4759"/>
          </w:tcPr>
          <w:p>
            <w:pPr>
              <w:jc w:val="right"/>
            </w:pPr>
            <w:r>
              <w:t>783</w:t>
            </w:r>
          </w:p>
        </w:tc>
      </w:tr>
      <w:tr>
        <w:tc>
          <w:tcPr>
            <w:tcW w:type="dxa" w:w="4759"/>
          </w:tcPr>
          <w:p>
            <w:r>
              <w:t>Capabilities built</w:t>
            </w:r>
          </w:p>
        </w:tc>
        <w:tc>
          <w:tcPr>
            <w:tcW w:type="dxa" w:w="4759"/>
          </w:tcPr>
          <w:p>
            <w:pPr>
              <w:jc w:val="right"/>
            </w:pPr>
            <w:r>
              <w:t>404 of 407</w:t>
            </w:r>
          </w:p>
        </w:tc>
      </w:tr>
      <w:tr>
        <w:tc>
          <w:tcPr>
            <w:tcW w:type="dxa" w:w="4759"/>
          </w:tcPr>
          <w:p>
            <w:r>
              <w:t>Capabilities partial</w:t>
            </w:r>
          </w:p>
        </w:tc>
        <w:tc>
          <w:tcPr>
            <w:tcW w:type="dxa" w:w="4759"/>
          </w:tcPr>
          <w:p>
            <w:pPr>
              <w:jc w:val="right"/>
            </w:pPr>
            <w:r>
              <w:t>2</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