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01 October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140</w:t>
            </w:r>
          </w:p>
        </w:tc>
      </w:tr>
      <w:tr>
        <w:tc>
          <w:tcPr>
            <w:tcW w:type="dxa" w:w="4759"/>
          </w:tcPr>
          <w:p>
            <w:r>
              <w:t>Database tables</w:t>
            </w:r>
          </w:p>
        </w:tc>
        <w:tc>
          <w:tcPr>
            <w:tcW w:type="dxa" w:w="4759"/>
          </w:tcPr>
          <w:p>
            <w:pPr>
              <w:jc w:val="right"/>
            </w:pPr>
            <w:r>
              <w:t>171</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105</w:t>
            </w:r>
          </w:p>
        </w:tc>
      </w:tr>
      <w:tr>
        <w:tc>
          <w:tcPr>
            <w:tcW w:type="dxa" w:w="4759"/>
          </w:tcPr>
          <w:p>
            <w:r>
              <w:t>Functional requirements</w:t>
            </w:r>
          </w:p>
        </w:tc>
        <w:tc>
          <w:tcPr>
            <w:tcW w:type="dxa" w:w="4759"/>
          </w:tcPr>
          <w:p>
            <w:pPr>
              <w:jc w:val="right"/>
            </w:pPr>
            <w:r>
              <w:t>946</w:t>
            </w:r>
          </w:p>
        </w:tc>
      </w:tr>
      <w:tr>
        <w:tc>
          <w:tcPr>
            <w:tcW w:type="dxa" w:w="4759"/>
          </w:tcPr>
          <w:p>
            <w:r>
              <w:t>Capabilities built</w:t>
            </w:r>
          </w:p>
        </w:tc>
        <w:tc>
          <w:tcPr>
            <w:tcW w:type="dxa" w:w="4759"/>
          </w:tcPr>
          <w:p>
            <w:pPr>
              <w:jc w:val="right"/>
            </w:pPr>
            <w:r>
              <w:t>519 of 521</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