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28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131</w:t>
            </w:r>
          </w:p>
        </w:tc>
      </w:tr>
      <w:tr>
        <w:tc>
          <w:tcPr>
            <w:tcW w:type="dxa" w:w="4759"/>
          </w:tcPr>
          <w:p>
            <w:r>
              <w:t>Database tables</w:t>
            </w:r>
          </w:p>
        </w:tc>
        <w:tc>
          <w:tcPr>
            <w:tcW w:type="dxa" w:w="4759"/>
          </w:tcPr>
          <w:p>
            <w:pPr>
              <w:jc w:val="right"/>
            </w:pPr>
            <w:r>
              <w:t>163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94</w:t>
            </w:r>
          </w:p>
        </w:tc>
      </w:tr>
      <w:tr>
        <w:tc>
          <w:tcPr>
            <w:tcW w:type="dxa" w:w="4759"/>
          </w:tcPr>
          <w:p>
            <w:r>
              <w:t>Functional requirements</w:t>
            </w:r>
          </w:p>
        </w:tc>
        <w:tc>
          <w:tcPr>
            <w:tcW w:type="dxa" w:w="4759"/>
          </w:tcPr>
          <w:p>
            <w:pPr>
              <w:jc w:val="right"/>
            </w:pPr>
            <w:r>
              <w:t>839</w:t>
            </w:r>
          </w:p>
        </w:tc>
      </w:tr>
      <w:tr>
        <w:tc>
          <w:tcPr>
            <w:tcW w:type="dxa" w:w="4759"/>
          </w:tcPr>
          <w:p>
            <w:r>
              <w:t>Capabilities built</w:t>
            </w:r>
          </w:p>
        </w:tc>
        <w:tc>
          <w:tcPr>
            <w:tcW w:type="dxa" w:w="4759"/>
          </w:tcPr>
          <w:p>
            <w:pPr>
              <w:jc w:val="right"/>
            </w:pPr>
            <w:r>
              <w:t>432 of 434</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