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115</w:t>
            </w:r>
          </w:p>
        </w:tc>
      </w:tr>
      <w:tr>
        <w:tc>
          <w:tcPr>
            <w:tcW w:type="dxa" w:w="4759"/>
          </w:tcPr>
          <w:p>
            <w:r>
              <w:t>Database tables</w:t>
            </w:r>
          </w:p>
        </w:tc>
        <w:tc>
          <w:tcPr>
            <w:tcW w:type="dxa" w:w="4759"/>
          </w:tcPr>
          <w:p>
            <w:pPr>
              <w:jc w:val="right"/>
            </w:pPr>
            <w:r>
              <w:t>143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53</w:t>
            </w:r>
          </w:p>
        </w:tc>
      </w:tr>
      <w:tr>
        <w:tc>
          <w:tcPr>
            <w:tcW w:type="dxa" w:w="4759"/>
          </w:tcPr>
          <w:p>
            <w:r>
              <w:t>Functional requirements</w:t>
            </w:r>
          </w:p>
        </w:tc>
        <w:tc>
          <w:tcPr>
            <w:tcW w:type="dxa" w:w="4759"/>
          </w:tcPr>
          <w:p>
            <w:pPr>
              <w:jc w:val="right"/>
            </w:pPr>
            <w:r>
              <w:t>556</w:t>
            </w:r>
          </w:p>
        </w:tc>
      </w:tr>
      <w:tr>
        <w:tc>
          <w:tcPr>
            <w:tcW w:type="dxa" w:w="4759"/>
          </w:tcPr>
          <w:p>
            <w:r>
              <w:t>Capabilities built</w:t>
            </w:r>
          </w:p>
        </w:tc>
        <w:tc>
          <w:tcPr>
            <w:tcW w:type="dxa" w:w="4759"/>
          </w:tcPr>
          <w:p>
            <w:pPr>
              <w:jc w:val="right"/>
            </w:pPr>
            <w:r>
              <w:t>195 of 205</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