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79</w:t>
            </w:r>
          </w:p>
        </w:tc>
      </w:tr>
      <w:tr>
        <w:tc>
          <w:tcPr>
            <w:tcW w:type="dxa" w:w="4759"/>
          </w:tcPr>
          <w:p>
            <w:r>
              <w:t>Functional requirements</w:t>
            </w:r>
          </w:p>
        </w:tc>
        <w:tc>
          <w:tcPr>
            <w:tcW w:type="dxa" w:w="4759"/>
          </w:tcPr>
          <w:p>
            <w:pPr>
              <w:jc w:val="right"/>
            </w:pPr>
            <w:r>
              <w:t>733</w:t>
            </w:r>
          </w:p>
        </w:tc>
      </w:tr>
      <w:tr>
        <w:tc>
          <w:tcPr>
            <w:tcW w:type="dxa" w:w="4759"/>
          </w:tcPr>
          <w:p>
            <w:r>
              <w:t>Capabilities built</w:t>
            </w:r>
          </w:p>
        </w:tc>
        <w:tc>
          <w:tcPr>
            <w:tcW w:type="dxa" w:w="4759"/>
          </w:tcPr>
          <w:p>
            <w:pPr>
              <w:jc w:val="right"/>
            </w:pPr>
            <w:r>
              <w:t>354 of 356</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