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128</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73</w:t>
            </w:r>
          </w:p>
        </w:tc>
      </w:tr>
      <w:tr>
        <w:tc>
          <w:tcPr>
            <w:tcW w:type="dxa" w:w="4759"/>
          </w:tcPr>
          <w:p>
            <w:r>
              <w:t>Functional requirements</w:t>
            </w:r>
          </w:p>
        </w:tc>
        <w:tc>
          <w:tcPr>
            <w:tcW w:type="dxa" w:w="4759"/>
          </w:tcPr>
          <w:p>
            <w:pPr>
              <w:jc w:val="right"/>
            </w:pPr>
            <w:r>
              <w:t>699</w:t>
            </w:r>
          </w:p>
        </w:tc>
      </w:tr>
      <w:tr>
        <w:tc>
          <w:tcPr>
            <w:tcW w:type="dxa" w:w="4759"/>
          </w:tcPr>
          <w:p>
            <w:r>
              <w:t>Capabilities built</w:t>
            </w:r>
          </w:p>
        </w:tc>
        <w:tc>
          <w:tcPr>
            <w:tcW w:type="dxa" w:w="4759"/>
          </w:tcPr>
          <w:p>
            <w:pPr>
              <w:jc w:val="right"/>
            </w:pPr>
            <w:r>
              <w:t>321 of 323</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