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15 September 2026, after Phase 46.</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10965448"/>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65448"/>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10369844"/>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0369844"/>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9314173"/>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9314173"/>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10965448"/>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65448"/>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10965448"/>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65448"/>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10369844"/>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0369844"/>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862537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862537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514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88615"/>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700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70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5149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518897"/>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518897"/>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806224"/>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806224"/>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10369844"/>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0369844"/>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93674"/>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93674"/>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3828374"/>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3828374"/>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85799"/>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85799"/>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440954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440954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10965448"/>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65448"/>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7496849"/>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7496849"/>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457499"/>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6457499"/>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7637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7637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58455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7"/>
                    <a:stretch>
                      <a:fillRect/>
                    </a:stretch>
                  </pic:blipFill>
                  <pic:spPr>
                    <a:xfrm>
                      <a:off x="0" y="0"/>
                      <a:ext cx="5903999" cy="58455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6946424"/>
            <wp:docPr id="51" name="Picture 51"/>
            <wp:cNvGraphicFramePr>
              <a:graphicFrameLocks noChangeAspect="1"/>
            </wp:cNvGraphicFramePr>
            <a:graphic>
              <a:graphicData uri="http://schemas.openxmlformats.org/drawingml/2006/picture">
                <pic:pic>
                  <pic:nvPicPr>
                    <pic:cNvPr id="0" name="payroll.png"/>
                    <pic:cNvPicPr/>
                  </pic:nvPicPr>
                  <pic:blipFill>
                    <a:blip r:embed="rId49"/>
                    <a:stretch>
                      <a:fillRect/>
                    </a:stretch>
                  </pic:blipFill>
                  <pic:spPr>
                    <a:xfrm>
                      <a:off x="0" y="0"/>
                      <a:ext cx="5903999" cy="6946424"/>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2" name="Picture 52"/>
            <wp:cNvGraphicFramePr>
              <a:graphicFrameLocks noChangeAspect="1"/>
            </wp:cNvGraphicFramePr>
            <a:graphic>
              <a:graphicData uri="http://schemas.openxmlformats.org/drawingml/2006/picture">
                <pic:pic>
                  <pic:nvPicPr>
                    <pic:cNvPr id="0" name="handover.png"/>
                    <pic:cNvPicPr/>
                  </pic:nvPicPr>
                  <pic:blipFill>
                    <a:blip r:embed="rId50"/>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9547873"/>
            <wp:docPr id="53" name="Picture 53"/>
            <wp:cNvGraphicFramePr>
              <a:graphicFrameLocks noChangeAspect="1"/>
            </wp:cNvGraphicFramePr>
            <a:graphic>
              <a:graphicData uri="http://schemas.openxmlformats.org/drawingml/2006/picture">
                <pic:pic>
                  <pic:nvPicPr>
                    <pic:cNvPr id="0" name="warranty-cost.png"/>
                    <pic:cNvPicPr/>
                  </pic:nvPicPr>
                  <pic:blipFill>
                    <a:blip r:embed="rId51"/>
                    <a:stretch>
                      <a:fillRect/>
                    </a:stretch>
                  </pic:blipFill>
                  <pic:spPr>
                    <a:xfrm>
                      <a:off x="0" y="0"/>
                      <a:ext cx="5903999" cy="9547873"/>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90599"/>
            <wp:docPr id="54" name="Picture 54"/>
            <wp:cNvGraphicFramePr>
              <a:graphicFrameLocks noChangeAspect="1"/>
            </wp:cNvGraphicFramePr>
            <a:graphic>
              <a:graphicData uri="http://schemas.openxmlformats.org/drawingml/2006/picture">
                <pic:pic>
                  <pic:nvPicPr>
                    <pic:cNvPr id="0" name="start.png"/>
                    <pic:cNvPicPr/>
                  </pic:nvPicPr>
                  <pic:blipFill>
                    <a:blip r:embed="rId52"/>
                    <a:stretch>
                      <a:fillRect/>
                    </a:stretch>
                  </pic:blipFill>
                  <pic:spPr>
                    <a:xfrm>
                      <a:off x="0" y="0"/>
                      <a:ext cx="5903999" cy="5190599"/>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5999"/>
            <wp:docPr id="55" name="Picture 55"/>
            <wp:cNvGraphicFramePr>
              <a:graphicFrameLocks noChangeAspect="1"/>
            </wp:cNvGraphicFramePr>
            <a:graphic>
              <a:graphicData uri="http://schemas.openxmlformats.org/drawingml/2006/picture">
                <pic:pic>
                  <pic:nvPicPr>
                    <pic:cNvPr id="0" name="help.png"/>
                    <pic:cNvPicPr/>
                  </pic:nvPicPr>
                  <pic:blipFill>
                    <a:blip r:embed="rId53"/>
                    <a:stretch>
                      <a:fillRect/>
                    </a:stretch>
                  </pic:blipFill>
                  <pic:spPr>
                    <a:xfrm>
                      <a:off x="0" y="0"/>
                      <a:ext cx="5903999" cy="5165999"/>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2"/>
      </w:pPr>
      <w:r>
        <w:t>On every screen</w:t>
      </w:r>
    </w:p>
    <w:p>
      <w:pPr>
        <w:spacing w:after="120"/>
      </w:pPr>
      <w:r>
        <w:rPr>
          <w:rFonts w:ascii="Public Sans" w:hAnsi="Public Sans"/>
          <w:b w:val="0"/>
          <w:i/>
          <w:color w:val="6B7577"/>
          <w:sz w:val="19"/>
        </w:rPr>
        <w:t>Measured from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reads this standing next to a car with a part in the other hand. Every screen is used on a phone, so every screen is measured on one rather than assumed to be fine.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is wider than the screen. A table may scroll inside its own box, and says so with a shadow at the edge that has more behind it, but the page itself never slides sideways.</w:t>
      </w:r>
    </w:p>
    <w:p>
      <w:pPr>
        <w:pStyle w:val="ListBullet"/>
        <w:spacing w:after="60"/>
      </w:pPr>
      <w:r>
        <w:rPr>
          <w:rFonts w:ascii="Public Sans" w:hAnsi="Public Sans"/>
          <w:sz w:val="21"/>
        </w:rPr>
        <w:t>Every control the product draws is at least forty pixels through the middle where a thumb is doing the pressing, and every link that stands on its own line at least twenty-four, which is what WCAG 2.2 asks of any target.</w:t>
      </w:r>
    </w:p>
    <w:p>
      <w:pPr>
        <w:pStyle w:val="ListBullet"/>
        <w:spacing w:after="60"/>
      </w:pPr>
      <w:r>
        <w:rPr>
          <w:rFonts w:ascii="Public Sans" w:hAnsi="Public Sans"/>
          <w:sz w:val="21"/>
        </w:rPr>
        <w:t>Nothing is smaller than eleven pixels, and a row of tiles that ends odd fills the row rather than leaving a hole.</w:t>
      </w:r>
    </w:p>
    <w:p>
      <w:pPr>
        <w:pStyle w:val="ListBullet"/>
        <w:spacing w:after="160"/>
      </w:pPr>
      <w:r>
        <w:rPr>
          <w:rFonts w:ascii="Public Sans" w:hAnsi="Public Sans"/>
          <w:sz w:val="21"/>
        </w:rPr>
        <w:t>The same screens are measured right to left, because a layout that only holds together in one direction holds together by accident.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verify-screens.ts measures every screen on a phone and the main ones at seven sizes from 320 to 1680 pixels, in both directions, and fails on anything that sticks out, is too small to press or too small to read, so this is a check rather than a claim.</w:t>
      </w:r>
    </w:p>
    <w:p>
      <w:pPr>
        <w:jc w:val="center"/>
      </w:pPr>
      <w:r>
        <w:drawing>
          <wp:inline xmlns:a="http://schemas.openxmlformats.org/drawingml/2006/main" xmlns:pic="http://schemas.openxmlformats.org/drawingml/2006/picture">
            <wp:extent cx="2736000" cy="5920984"/>
            <wp:docPr id="56" name="Picture 56"/>
            <wp:cNvGraphicFramePr>
              <a:graphicFrameLocks noChangeAspect="1"/>
            </wp:cNvGraphicFramePr>
            <a:graphic>
              <a:graphicData uri="http://schemas.openxmlformats.org/drawingml/2006/picture">
                <pic:pic>
                  <pic:nvPicPr>
                    <pic:cNvPr id="0" name="phone-dashboard.png"/>
                    <pic:cNvPicPr/>
                  </pic:nvPicPr>
                  <pic:blipFill>
                    <a:blip r:embed="rId54"/>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dashboard on a phone.</w:t>
      </w:r>
    </w:p>
    <w:p>
      <w:pPr>
        <w:jc w:val="center"/>
      </w:pPr>
      <w:r>
        <w:drawing>
          <wp:inline xmlns:a="http://schemas.openxmlformats.org/drawingml/2006/main" xmlns:pic="http://schemas.openxmlformats.org/drawingml/2006/picture">
            <wp:extent cx="2736000" cy="5920984"/>
            <wp:docPr id="57" name="Picture 57"/>
            <wp:cNvGraphicFramePr>
              <a:graphicFrameLocks noChangeAspect="1"/>
            </wp:cNvGraphicFramePr>
            <a:graphic>
              <a:graphicData uri="http://schemas.openxmlformats.org/drawingml/2006/picture">
                <pic:pic>
                  <pic:nvPicPr>
                    <pic:cNvPr id="0" name="phone-dashboard-ar.png"/>
                    <pic:cNvPicPr/>
                  </pic:nvPicPr>
                  <pic:blipFill>
                    <a:blip r:embed="rId55"/>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same, in Arabic.</w:t>
      </w:r>
    </w:p>
    <w:p>
      <w:pPr>
        <w:spacing w:after="280"/>
      </w:pPr>
      <w:r>
        <w:rPr>
          <w:rFonts w:ascii="Public Sans" w:hAnsi="Public Sans"/>
          <w:b w:val="0"/>
          <w:i w:val="0"/>
          <w:color w:val="6B7577"/>
          <w:sz w:val="17"/>
        </w:rPr>
        <w:t>Source: infra/scripts/verify-screens.ts</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counter.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gift-cards.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8714447"/>
            <wp:docPr id="60" name="Picture 60"/>
            <wp:cNvGraphicFramePr>
              <a:graphicFrameLocks noChangeAspect="1"/>
            </wp:cNvGraphicFramePr>
            <a:graphic>
              <a:graphicData uri="http://schemas.openxmlformats.org/drawingml/2006/picture">
                <pic:pic>
                  <pic:nvPicPr>
                    <pic:cNvPr id="0" name="customer.png"/>
                    <pic:cNvPicPr/>
                  </pic:nvPicPr>
                  <pic:blipFill>
                    <a:blip r:embed="rId58"/>
                    <a:stretch>
                      <a:fillRect/>
                    </a:stretch>
                  </pic:blipFill>
                  <pic:spPr>
                    <a:xfrm>
                      <a:off x="0" y="0"/>
                      <a:ext cx="5903999" cy="18714447"/>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9252572"/>
            <wp:docPr id="61" name="Picture 61"/>
            <wp:cNvGraphicFramePr>
              <a:graphicFrameLocks noChangeAspect="1"/>
            </wp:cNvGraphicFramePr>
            <a:graphic>
              <a:graphicData uri="http://schemas.openxmlformats.org/drawingml/2006/picture">
                <pic:pic>
                  <pic:nvPicPr>
                    <pic:cNvPr id="0" name="passport.png"/>
                    <pic:cNvPicPr/>
                  </pic:nvPicPr>
                  <pic:blipFill>
                    <a:blip r:embed="rId59"/>
                    <a:stretch>
                      <a:fillRect/>
                    </a:stretch>
                  </pic:blipFill>
                  <pic:spPr>
                    <a:xfrm>
                      <a:off x="0" y="0"/>
                      <a:ext cx="5903999" cy="19252572"/>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vehicle.png"/>
                    <pic:cNvPicPr/>
                  </pic:nvPicPr>
                  <pic:blipFill>
                    <a:blip r:embed="rId6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passports.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88615"/>
            <wp:docPr id="64" name="Picture 64"/>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5" name="Picture 65"/>
            <wp:cNvGraphicFramePr>
              <a:graphicFrameLocks noChangeAspect="1"/>
            </wp:cNvGraphicFramePr>
            <a:graphic>
              <a:graphicData uri="http://schemas.openxmlformats.org/drawingml/2006/picture">
                <pic:pic>
                  <pic:nvPicPr>
                    <pic:cNvPr id="0" name="portal-passports.png"/>
                    <pic:cNvPicPr/>
                  </pic:nvPicPr>
                  <pic:blipFill>
                    <a:blip r:embed="rId62"/>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49155077"/>
            <wp:docPr id="66" name="Picture 66"/>
            <wp:cNvGraphicFramePr>
              <a:graphicFrameLocks noChangeAspect="1"/>
            </wp:cNvGraphicFramePr>
            <a:graphic>
              <a:graphicData uri="http://schemas.openxmlformats.org/drawingml/2006/picture">
                <pic:pic>
                  <pic:nvPicPr>
                    <pic:cNvPr id="0" name="portal-passport.png"/>
                    <pic:cNvPicPr/>
                  </pic:nvPicPr>
                  <pic:blipFill>
                    <a:blip r:embed="rId63"/>
                    <a:stretch>
                      <a:fillRect/>
                    </a:stretch>
                  </pic:blipFill>
                  <pic:spPr>
                    <a:xfrm>
                      <a:off x="0" y="0"/>
                      <a:ext cx="2520000" cy="49155077"/>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reputation.png"/>
                    <pic:cNvPicPr/>
                  </pic:nvPicPr>
                  <pic:blipFill>
                    <a:blip r:embed="rId6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ask.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people.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business.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plan.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2" name="Picture 72"/>
            <wp:cNvGraphicFramePr>
              <a:graphicFrameLocks noChangeAspect="1"/>
            </wp:cNvGraphicFramePr>
            <a:graphic>
              <a:graphicData uri="http://schemas.openxmlformats.org/drawingml/2006/picture">
                <pic:pic>
                  <pic:nvPicPr>
                    <pic:cNvPr id="0" name="dashboard-dark.png"/>
                    <pic:cNvPicPr/>
                  </pic:nvPicPr>
                  <pic:blipFill>
                    <a:blip r:embed="rId6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3" name="Picture 73"/>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2"/>
      </w:pPr>
      <w:r>
        <w:t>A code a customer arrives holding</w:t>
      </w:r>
    </w:p>
    <w:p>
      <w:pPr>
        <w:spacing w:after="120"/>
      </w:pPr>
      <w:r>
        <w:rPr>
          <w:rFonts w:ascii="Public Sans" w:hAnsi="Public Sans"/>
          <w:b w:val="0"/>
          <w:i/>
          <w:color w:val="6B7577"/>
          <w:sz w:val="19"/>
        </w:rPr>
        <w:t>Phase 45.5,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coupon looks like a number and is really a set of promises: when it starts, when it ends, what the bill has to reach, how many times it may be used at all and how many times by one person. All of them are written down where the person at the counter can see them, because a code whose rules live in somebody's head is a code that gets argued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refusals are the feature: "That code ran out on 30 June" rather than "invalid code".</w:t>
      </w:r>
    </w:p>
    <w:p>
      <w:pPr>
        <w:pStyle w:val="ListBullet"/>
        <w:spacing w:after="60"/>
      </w:pPr>
      <w:r>
        <w:rPr>
          <w:rFonts w:ascii="Public Sans" w:hAnsi="Public Sans"/>
          <w:sz w:val="21"/>
        </w:rPr>
        <w:t>What each code gave away sits beside what was billed on the visits it was used on.</w:t>
      </w:r>
    </w:p>
    <w:p>
      <w:pPr>
        <w:pStyle w:val="ListBullet"/>
        <w:spacing w:after="160"/>
      </w:pPr>
      <w:r>
        <w:rPr>
          <w:rFonts w:ascii="Public Sans" w:hAnsi="Public Sans"/>
          <w:sz w:val="21"/>
        </w:rPr>
        <w:t>A coupon never rewrites a bill. It settles like points, and lands in what the offers cost.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discount booked as revenue gives a workshop accounts that say it is doing better than it is. Putting it in expenses is both truthful and the only way to know whether an offer paid for itself.</w:t>
      </w:r>
    </w:p>
    <w:p>
      <w:pPr>
        <w:jc w:val="center"/>
      </w:pPr>
      <w:r>
        <w:drawing>
          <wp:inline xmlns:a="http://schemas.openxmlformats.org/drawingml/2006/main" xmlns:pic="http://schemas.openxmlformats.org/drawingml/2006/picture">
            <wp:extent cx="5903999" cy="6171524"/>
            <wp:docPr id="74" name="Picture 74"/>
            <wp:cNvGraphicFramePr>
              <a:graphicFrameLocks noChangeAspect="1"/>
            </wp:cNvGraphicFramePr>
            <a:graphic>
              <a:graphicData uri="http://schemas.openxmlformats.org/drawingml/2006/picture">
                <pic:pic>
                  <pic:nvPicPr>
                    <pic:cNvPr id="0" name="coupons.png"/>
                    <pic:cNvPicPr/>
                  </pic:nvPicPr>
                  <pic:blipFill>
                    <a:blip r:embed="rId71"/>
                    <a:stretch>
                      <a:fillRect/>
                    </a:stretch>
                  </pic:blipFill>
                  <pic:spPr>
                    <a:xfrm>
                      <a:off x="0" y="0"/>
                      <a:ext cx="5903999" cy="6171524"/>
                    </a:xfrm>
                    <a:prstGeom prst="rect"/>
                  </pic:spPr>
                </pic:pic>
              </a:graphicData>
            </a:graphic>
          </wp:inline>
        </w:drawing>
      </w:r>
    </w:p>
    <w:p>
      <w:pPr>
        <w:spacing w:after="240"/>
        <w:jc w:val="center"/>
      </w:pPr>
      <w:r>
        <w:rPr>
          <w:rFonts w:ascii="Public Sans" w:hAnsi="Public Sans"/>
          <w:b w:val="0"/>
          <w:i/>
          <w:color w:val="6B7577"/>
          <w:sz w:val="18"/>
        </w:rPr>
        <w:t>Codes, what they promise, and what they have cost.</w:t>
      </w:r>
    </w:p>
    <w:p>
      <w:pPr>
        <w:spacing w:after="280"/>
      </w:pPr>
      <w:r>
        <w:rPr>
          <w:rFonts w:ascii="Public Sans" w:hAnsi="Public Sans"/>
          <w:b w:val="0"/>
          <w:i w:val="0"/>
          <w:color w:val="6B7577"/>
          <w:sz w:val="17"/>
        </w:rPr>
        <w:t>Source: docs/02-design/07-accounting-model.md, section 3.19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Pr>
        <w:pStyle w:val="ListBullet"/>
        <w:spacing w:after="80"/>
      </w:pPr>
      <w:r>
        <w:rPr>
          <w:rFonts w:ascii="Public Sans" w:hAnsi="Public Sans"/>
          <w:sz w:val="21"/>
        </w:rPr>
        <w:t>It never does a thing twice because it was asked twice. Every write that moves money or stock says what a repeat does to it, and the build fails for one that does not.</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