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130</w:t>
            </w:r>
          </w:p>
        </w:tc>
      </w:tr>
      <w:tr>
        <w:tc>
          <w:tcPr>
            <w:tcW w:type="dxa" w:w="4759"/>
          </w:tcPr>
          <w:p>
            <w:r>
              <w:t>Database tables</w:t>
            </w:r>
          </w:p>
        </w:tc>
        <w:tc>
          <w:tcPr>
            <w:tcW w:type="dxa" w:w="4759"/>
          </w:tcPr>
          <w:p>
            <w:pPr>
              <w:jc w:val="right"/>
            </w:pPr>
            <w:r>
              <w:t>161</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92</w:t>
            </w:r>
          </w:p>
        </w:tc>
      </w:tr>
      <w:tr>
        <w:tc>
          <w:tcPr>
            <w:tcW w:type="dxa" w:w="4759"/>
          </w:tcPr>
          <w:p>
            <w:r>
              <w:t>Functional requirements</w:t>
            </w:r>
          </w:p>
        </w:tc>
        <w:tc>
          <w:tcPr>
            <w:tcW w:type="dxa" w:w="4759"/>
          </w:tcPr>
          <w:p>
            <w:pPr>
              <w:jc w:val="right"/>
            </w:pPr>
            <w:r>
              <w:t>827</w:t>
            </w:r>
          </w:p>
        </w:tc>
      </w:tr>
      <w:tr>
        <w:tc>
          <w:tcPr>
            <w:tcW w:type="dxa" w:w="4759"/>
          </w:tcPr>
          <w:p>
            <w:r>
              <w:t>Capabilities built</w:t>
            </w:r>
          </w:p>
        </w:tc>
        <w:tc>
          <w:tcPr>
            <w:tcW w:type="dxa" w:w="4759"/>
          </w:tcPr>
          <w:p>
            <w:pPr>
              <w:jc w:val="right"/>
            </w:pPr>
            <w:r>
              <w:t>424 of 426</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