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20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129</w:t>
            </w:r>
          </w:p>
        </w:tc>
      </w:tr>
      <w:tr>
        <w:tc>
          <w:tcPr>
            <w:tcW w:type="dxa" w:w="4759"/>
          </w:tcPr>
          <w:p>
            <w:r>
              <w:t>Database tables</w:t>
            </w:r>
          </w:p>
        </w:tc>
        <w:tc>
          <w:tcPr>
            <w:tcW w:type="dxa" w:w="4759"/>
          </w:tcPr>
          <w:p>
            <w:pPr>
              <w:jc w:val="right"/>
            </w:pPr>
            <w:r>
              <w:t>154</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83</w:t>
            </w:r>
          </w:p>
        </w:tc>
      </w:tr>
      <w:tr>
        <w:tc>
          <w:tcPr>
            <w:tcW w:type="dxa" w:w="4759"/>
          </w:tcPr>
          <w:p>
            <w:r>
              <w:t>Functional requirements</w:t>
            </w:r>
          </w:p>
        </w:tc>
        <w:tc>
          <w:tcPr>
            <w:tcW w:type="dxa" w:w="4759"/>
          </w:tcPr>
          <w:p>
            <w:pPr>
              <w:jc w:val="right"/>
            </w:pPr>
            <w:r>
              <w:t>760</w:t>
            </w:r>
          </w:p>
        </w:tc>
      </w:tr>
      <w:tr>
        <w:tc>
          <w:tcPr>
            <w:tcW w:type="dxa" w:w="4759"/>
          </w:tcPr>
          <w:p>
            <w:r>
              <w:t>Capabilities built</w:t>
            </w:r>
          </w:p>
        </w:tc>
        <w:tc>
          <w:tcPr>
            <w:tcW w:type="dxa" w:w="4759"/>
          </w:tcPr>
          <w:p>
            <w:pPr>
              <w:jc w:val="right"/>
            </w:pPr>
            <w:r>
              <w:t>381 of 383</w:t>
            </w:r>
          </w:p>
        </w:tc>
      </w:tr>
      <w:tr>
        <w:tc>
          <w:tcPr>
            <w:tcW w:type="dxa" w:w="4759"/>
          </w:tcPr>
          <w:p>
            <w:r>
              <w:t>Capabilities partial</w:t>
            </w:r>
          </w:p>
        </w:tc>
        <w:tc>
          <w:tcPr>
            <w:tcW w:type="dxa" w:w="4759"/>
          </w:tcPr>
          <w:p>
            <w:pPr>
              <w:jc w:val="right"/>
            </w:pPr>
            <w:r>
              <w:t>1</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