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157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88</w:t>
            </w:r>
          </w:p>
        </w:tc>
      </w:tr>
      <w:tr>
        <w:tc>
          <w:tcPr>
            <w:tcW w:type="dxa" w:w="4759"/>
          </w:tcPr>
          <w:p>
            <w:r>
              <w:t>Functional requirements</w:t>
            </w:r>
          </w:p>
        </w:tc>
        <w:tc>
          <w:tcPr>
            <w:tcW w:type="dxa" w:w="4759"/>
          </w:tcPr>
          <w:p>
            <w:pPr>
              <w:jc w:val="right"/>
            </w:pPr>
            <w:r>
              <w:t>791</w:t>
            </w:r>
          </w:p>
        </w:tc>
      </w:tr>
      <w:tr>
        <w:tc>
          <w:tcPr>
            <w:tcW w:type="dxa" w:w="4759"/>
          </w:tcPr>
          <w:p>
            <w:r>
              <w:t>Capabilities built</w:t>
            </w:r>
          </w:p>
        </w:tc>
        <w:tc>
          <w:tcPr>
            <w:tcW w:type="dxa" w:w="4759"/>
          </w:tcPr>
          <w:p>
            <w:pPr>
              <w:jc w:val="right"/>
            </w:pPr>
            <w:r>
              <w:t>411 of 414</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