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117</w:t>
            </w:r>
          </w:p>
        </w:tc>
      </w:tr>
      <w:tr>
        <w:tc>
          <w:tcPr>
            <w:tcW w:type="dxa" w:w="4759"/>
          </w:tcPr>
          <w:p>
            <w:r>
              <w:t>Database tables</w:t>
            </w:r>
          </w:p>
        </w:tc>
        <w:tc>
          <w:tcPr>
            <w:tcW w:type="dxa" w:w="4759"/>
          </w:tcPr>
          <w:p>
            <w:pPr>
              <w:jc w:val="right"/>
            </w:pPr>
            <w:r>
              <w:t>147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57</w:t>
            </w:r>
          </w:p>
        </w:tc>
      </w:tr>
      <w:tr>
        <w:tc>
          <w:tcPr>
            <w:tcW w:type="dxa" w:w="4759"/>
          </w:tcPr>
          <w:p>
            <w:r>
              <w:t>Functional requirements</w:t>
            </w:r>
          </w:p>
        </w:tc>
        <w:tc>
          <w:tcPr>
            <w:tcW w:type="dxa" w:w="4759"/>
          </w:tcPr>
          <w:p>
            <w:pPr>
              <w:jc w:val="right"/>
            </w:pPr>
            <w:r>
              <w:t>589</w:t>
            </w:r>
          </w:p>
        </w:tc>
      </w:tr>
      <w:tr>
        <w:tc>
          <w:tcPr>
            <w:tcW w:type="dxa" w:w="4759"/>
          </w:tcPr>
          <w:p>
            <w:r>
              <w:t>Capabilities built</w:t>
            </w:r>
          </w:p>
        </w:tc>
        <w:tc>
          <w:tcPr>
            <w:tcW w:type="dxa" w:w="4759"/>
          </w:tcPr>
          <w:p>
            <w:pPr>
              <w:jc w:val="right"/>
            </w:pPr>
            <w:r>
              <w:t>214 of 220</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4</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