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112</w:t>
            </w:r>
          </w:p>
        </w:tc>
      </w:tr>
      <w:tr>
        <w:tc>
          <w:tcPr>
            <w:tcW w:type="dxa" w:w="4759"/>
          </w:tcPr>
          <w:p>
            <w:r>
              <w:t>Database tables</w:t>
            </w:r>
          </w:p>
        </w:tc>
        <w:tc>
          <w:tcPr>
            <w:tcW w:type="dxa" w:w="4759"/>
          </w:tcPr>
          <w:p>
            <w:pPr>
              <w:jc w:val="right"/>
            </w:pPr>
            <w:r>
              <w:t>138</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50</w:t>
            </w:r>
          </w:p>
        </w:tc>
      </w:tr>
      <w:tr>
        <w:tc>
          <w:tcPr>
            <w:tcW w:type="dxa" w:w="4759"/>
          </w:tcPr>
          <w:p>
            <w:r>
              <w:t>Functional requirements</w:t>
            </w:r>
          </w:p>
        </w:tc>
        <w:tc>
          <w:tcPr>
            <w:tcW w:type="dxa" w:w="4759"/>
          </w:tcPr>
          <w:p>
            <w:pPr>
              <w:jc w:val="right"/>
            </w:pPr>
            <w:r>
              <w:t>539</w:t>
            </w:r>
          </w:p>
        </w:tc>
      </w:tr>
      <w:tr>
        <w:tc>
          <w:tcPr>
            <w:tcW w:type="dxa" w:w="4759"/>
          </w:tcPr>
          <w:p>
            <w:r>
              <w:t>Capabilities built</w:t>
            </w:r>
          </w:p>
        </w:tc>
        <w:tc>
          <w:tcPr>
            <w:tcW w:type="dxa" w:w="4759"/>
          </w:tcPr>
          <w:p>
            <w:pPr>
              <w:jc w:val="right"/>
            </w:pPr>
            <w:r>
              <w:t>184 of 198</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11</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